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AE62" w14:textId="1B65C4FC" w:rsidR="00814871" w:rsidRDefault="00E43486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F734F">
        <w:rPr>
          <w:rFonts w:ascii="Arial" w:hAnsi="Arial" w:cs="Arial"/>
          <w:b/>
          <w:bCs/>
          <w:i/>
          <w:sz w:val="24"/>
          <w:szCs w:val="24"/>
          <w:u w:val="single"/>
        </w:rPr>
        <w:t>Obrazloženje ostvarenja prihoda i primitaka, rashoda i izdataka</w:t>
      </w:r>
    </w:p>
    <w:p w14:paraId="2A42BE95" w14:textId="59D707A3" w:rsidR="00174384" w:rsidRDefault="00174384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294CEBE8" w14:textId="77777777" w:rsidR="00174384" w:rsidRDefault="00174384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8763EE0" w14:textId="0EC3C779" w:rsidR="0013220B" w:rsidRPr="00CD44B8" w:rsidRDefault="009D649C" w:rsidP="00CD44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329DD49" wp14:editId="222F2E3F">
            <wp:extent cx="8486775" cy="448564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75A2A" w14:textId="0B56C3BC" w:rsidR="00E43486" w:rsidRPr="00D05A7D" w:rsidRDefault="00E43486" w:rsidP="0013220B">
      <w:pPr>
        <w:ind w:firstLine="708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44F23">
        <w:rPr>
          <w:rFonts w:ascii="Arial" w:hAnsi="Arial" w:cs="Arial"/>
          <w:b/>
          <w:bCs/>
          <w:i/>
          <w:sz w:val="24"/>
          <w:szCs w:val="24"/>
        </w:rPr>
        <w:lastRenderedPageBreak/>
        <w:t>O prihodima i primicima</w:t>
      </w:r>
    </w:p>
    <w:p w14:paraId="601ACEDA" w14:textId="1DAFCC1B" w:rsidR="00D04794" w:rsidRPr="00906B08" w:rsidRDefault="00E43486" w:rsidP="00E43486">
      <w:pPr>
        <w:jc w:val="both"/>
        <w:rPr>
          <w:rFonts w:ascii="Arial" w:hAnsi="Arial" w:cs="Arial"/>
          <w:sz w:val="20"/>
          <w:szCs w:val="20"/>
        </w:rPr>
      </w:pPr>
      <w:r w:rsidRPr="001A6164">
        <w:rPr>
          <w:rFonts w:ascii="Arial" w:hAnsi="Arial" w:cs="Arial"/>
          <w:b/>
          <w:sz w:val="18"/>
          <w:szCs w:val="18"/>
        </w:rPr>
        <w:t xml:space="preserve">           </w:t>
      </w:r>
      <w:r w:rsidRPr="00906B08">
        <w:rPr>
          <w:rFonts w:ascii="Arial" w:hAnsi="Arial" w:cs="Arial"/>
          <w:b/>
          <w:sz w:val="20"/>
          <w:szCs w:val="20"/>
        </w:rPr>
        <w:t>Prihodi</w:t>
      </w:r>
      <w:r w:rsidRPr="00906B08">
        <w:rPr>
          <w:rFonts w:ascii="Arial" w:hAnsi="Arial" w:cs="Arial"/>
          <w:sz w:val="20"/>
          <w:szCs w:val="20"/>
        </w:rPr>
        <w:t xml:space="preserve"> </w:t>
      </w:r>
      <w:r w:rsidRPr="00906B08">
        <w:rPr>
          <w:rFonts w:ascii="Arial" w:hAnsi="Arial" w:cs="Arial"/>
          <w:b/>
          <w:sz w:val="20"/>
          <w:szCs w:val="20"/>
        </w:rPr>
        <w:t>(razredi 6 i 7)</w:t>
      </w:r>
      <w:r w:rsidRPr="00906B08">
        <w:rPr>
          <w:rFonts w:ascii="Arial" w:hAnsi="Arial" w:cs="Arial"/>
          <w:sz w:val="20"/>
          <w:szCs w:val="20"/>
        </w:rPr>
        <w:t xml:space="preserve"> Proračuna Grada Korčule (dalje u te</w:t>
      </w:r>
      <w:r w:rsidR="00C82DD5" w:rsidRPr="00906B08">
        <w:rPr>
          <w:rFonts w:ascii="Arial" w:hAnsi="Arial" w:cs="Arial"/>
          <w:sz w:val="20"/>
          <w:szCs w:val="20"/>
        </w:rPr>
        <w:t>kstu: Proračun) ostvareni u 20</w:t>
      </w:r>
      <w:r w:rsidR="005D75E8" w:rsidRPr="00906B08">
        <w:rPr>
          <w:rFonts w:ascii="Arial" w:hAnsi="Arial" w:cs="Arial"/>
          <w:sz w:val="20"/>
          <w:szCs w:val="20"/>
        </w:rPr>
        <w:t>2</w:t>
      </w:r>
      <w:r w:rsidR="00C877F1" w:rsidRPr="00906B08">
        <w:rPr>
          <w:rFonts w:ascii="Arial" w:hAnsi="Arial" w:cs="Arial"/>
          <w:sz w:val="20"/>
          <w:szCs w:val="20"/>
        </w:rPr>
        <w:t>1</w:t>
      </w:r>
      <w:r w:rsidRPr="00906B08">
        <w:rPr>
          <w:rFonts w:ascii="Arial" w:hAnsi="Arial" w:cs="Arial"/>
          <w:sz w:val="20"/>
          <w:szCs w:val="20"/>
        </w:rPr>
        <w:t xml:space="preserve">. godini iznose ukupno </w:t>
      </w:r>
      <w:r w:rsidR="00C877F1" w:rsidRPr="00906B08">
        <w:rPr>
          <w:rFonts w:ascii="Arial" w:hAnsi="Arial" w:cs="Arial"/>
          <w:b/>
          <w:bCs/>
          <w:sz w:val="20"/>
          <w:szCs w:val="20"/>
        </w:rPr>
        <w:t>34.377.122</w:t>
      </w:r>
      <w:r w:rsidR="00BC28F2" w:rsidRPr="00906B08">
        <w:rPr>
          <w:rFonts w:ascii="Arial" w:hAnsi="Arial" w:cs="Arial"/>
          <w:sz w:val="20"/>
          <w:szCs w:val="20"/>
        </w:rPr>
        <w:t xml:space="preserve"> kn</w:t>
      </w:r>
      <w:r w:rsidR="00BC1C72" w:rsidRPr="00906B08">
        <w:rPr>
          <w:rFonts w:ascii="Arial" w:hAnsi="Arial" w:cs="Arial"/>
          <w:sz w:val="20"/>
          <w:szCs w:val="20"/>
        </w:rPr>
        <w:t xml:space="preserve"> ili </w:t>
      </w:r>
      <w:r w:rsidR="00C877F1" w:rsidRPr="00906B08">
        <w:rPr>
          <w:rFonts w:ascii="Arial" w:hAnsi="Arial" w:cs="Arial"/>
          <w:sz w:val="20"/>
          <w:szCs w:val="20"/>
        </w:rPr>
        <w:t>31</w:t>
      </w:r>
      <w:r w:rsidR="00BC1C72" w:rsidRPr="00906B08">
        <w:rPr>
          <w:rFonts w:ascii="Arial" w:hAnsi="Arial" w:cs="Arial"/>
          <w:sz w:val="20"/>
          <w:szCs w:val="20"/>
        </w:rPr>
        <w:t xml:space="preserve">% </w:t>
      </w:r>
      <w:r w:rsidR="00C877F1" w:rsidRPr="00906B08">
        <w:rPr>
          <w:rFonts w:ascii="Arial" w:hAnsi="Arial" w:cs="Arial"/>
          <w:sz w:val="20"/>
          <w:szCs w:val="20"/>
        </w:rPr>
        <w:t>(ili 8.106.630 kn) više nego u 2020. godini</w:t>
      </w:r>
      <w:r w:rsidR="005B1924" w:rsidRPr="00906B08">
        <w:rPr>
          <w:rFonts w:ascii="Arial" w:hAnsi="Arial" w:cs="Arial"/>
          <w:sz w:val="20"/>
          <w:szCs w:val="20"/>
        </w:rPr>
        <w:t>. Ostvareni prihodi jednaki su planiranima.</w:t>
      </w:r>
      <w:r w:rsidRPr="00906B08">
        <w:rPr>
          <w:rFonts w:ascii="Arial" w:hAnsi="Arial" w:cs="Arial"/>
          <w:sz w:val="20"/>
          <w:szCs w:val="20"/>
        </w:rPr>
        <w:t xml:space="preserve"> Ukoliko iz razmatranja izuzmemo ukupn</w:t>
      </w:r>
      <w:r w:rsidR="00AC4ABD" w:rsidRPr="00906B08">
        <w:rPr>
          <w:rFonts w:ascii="Arial" w:hAnsi="Arial" w:cs="Arial"/>
          <w:sz w:val="20"/>
          <w:szCs w:val="20"/>
        </w:rPr>
        <w:t>e prihode Proračunskih korisnika (U</w:t>
      </w:r>
      <w:r w:rsidR="00E01EE7" w:rsidRPr="00906B08">
        <w:rPr>
          <w:rFonts w:ascii="Arial" w:hAnsi="Arial" w:cs="Arial"/>
          <w:sz w:val="20"/>
          <w:szCs w:val="20"/>
        </w:rPr>
        <w:t xml:space="preserve">stanove) koji iznose </w:t>
      </w:r>
      <w:r w:rsidR="005B1924" w:rsidRPr="00906B08">
        <w:rPr>
          <w:rFonts w:ascii="Arial" w:hAnsi="Arial" w:cs="Arial"/>
          <w:sz w:val="20"/>
          <w:szCs w:val="20"/>
        </w:rPr>
        <w:t>2.032.952</w:t>
      </w:r>
      <w:r w:rsidR="00062B0A" w:rsidRPr="00906B08">
        <w:rPr>
          <w:rFonts w:ascii="Arial" w:hAnsi="Arial" w:cs="Arial"/>
          <w:sz w:val="20"/>
          <w:szCs w:val="20"/>
        </w:rPr>
        <w:t xml:space="preserve"> kn</w:t>
      </w:r>
      <w:r w:rsidRPr="00906B08">
        <w:rPr>
          <w:rFonts w:ascii="Arial" w:hAnsi="Arial" w:cs="Arial"/>
          <w:sz w:val="20"/>
          <w:szCs w:val="20"/>
        </w:rPr>
        <w:t xml:space="preserve">, ostvareni su </w:t>
      </w:r>
      <w:r w:rsidR="00C83E3F" w:rsidRPr="00906B08">
        <w:rPr>
          <w:rFonts w:ascii="Arial" w:hAnsi="Arial" w:cs="Arial"/>
          <w:sz w:val="20"/>
          <w:szCs w:val="20"/>
        </w:rPr>
        <w:t xml:space="preserve">prihodi </w:t>
      </w:r>
      <w:r w:rsidR="00E01EE7" w:rsidRPr="00906B08">
        <w:rPr>
          <w:rFonts w:ascii="Arial" w:hAnsi="Arial" w:cs="Arial"/>
          <w:sz w:val="20"/>
          <w:szCs w:val="20"/>
        </w:rPr>
        <w:t xml:space="preserve">Proračuna od </w:t>
      </w:r>
      <w:r w:rsidR="005B1924" w:rsidRPr="00906B08">
        <w:rPr>
          <w:rFonts w:ascii="Arial" w:hAnsi="Arial" w:cs="Arial"/>
          <w:sz w:val="20"/>
          <w:szCs w:val="20"/>
        </w:rPr>
        <w:t>32.344.170</w:t>
      </w:r>
      <w:r w:rsidR="00062B0A" w:rsidRPr="00906B08">
        <w:rPr>
          <w:rFonts w:ascii="Arial" w:hAnsi="Arial" w:cs="Arial"/>
          <w:sz w:val="20"/>
          <w:szCs w:val="20"/>
        </w:rPr>
        <w:t xml:space="preserve"> </w:t>
      </w:r>
      <w:r w:rsidR="008D5E43" w:rsidRPr="00906B08">
        <w:rPr>
          <w:rFonts w:ascii="Arial" w:hAnsi="Arial" w:cs="Arial"/>
          <w:sz w:val="20"/>
          <w:szCs w:val="20"/>
        </w:rPr>
        <w:t>kn i</w:t>
      </w:r>
      <w:r w:rsidR="003E549A" w:rsidRPr="00906B08">
        <w:rPr>
          <w:rFonts w:ascii="Arial" w:hAnsi="Arial" w:cs="Arial"/>
          <w:sz w:val="20"/>
          <w:szCs w:val="20"/>
        </w:rPr>
        <w:t xml:space="preserve"> jednaki su planiranima, a</w:t>
      </w:r>
      <w:r w:rsidR="00CC2557" w:rsidRPr="00906B08">
        <w:rPr>
          <w:rFonts w:ascii="Arial" w:hAnsi="Arial" w:cs="Arial"/>
          <w:sz w:val="20"/>
          <w:szCs w:val="20"/>
        </w:rPr>
        <w:t xml:space="preserve"> </w:t>
      </w:r>
      <w:r w:rsidR="003E549A" w:rsidRPr="00906B08">
        <w:rPr>
          <w:rFonts w:ascii="Arial" w:hAnsi="Arial" w:cs="Arial"/>
          <w:sz w:val="20"/>
          <w:szCs w:val="20"/>
        </w:rPr>
        <w:t>30</w:t>
      </w:r>
      <w:r w:rsidR="00CC2557" w:rsidRPr="00906B08">
        <w:rPr>
          <w:rFonts w:ascii="Arial" w:hAnsi="Arial" w:cs="Arial"/>
          <w:sz w:val="20"/>
          <w:szCs w:val="20"/>
        </w:rPr>
        <w:t xml:space="preserve">% </w:t>
      </w:r>
      <w:r w:rsidR="003E549A" w:rsidRPr="00906B08">
        <w:rPr>
          <w:rFonts w:ascii="Arial" w:hAnsi="Arial" w:cs="Arial"/>
          <w:sz w:val="20"/>
          <w:szCs w:val="20"/>
        </w:rPr>
        <w:t>veći</w:t>
      </w:r>
      <w:r w:rsidR="00CC2557" w:rsidRPr="00906B08">
        <w:rPr>
          <w:rFonts w:ascii="Arial" w:hAnsi="Arial" w:cs="Arial"/>
          <w:sz w:val="20"/>
          <w:szCs w:val="20"/>
        </w:rPr>
        <w:t xml:space="preserve"> nego prethodne godine. U</w:t>
      </w:r>
      <w:r w:rsidR="00062B0A" w:rsidRPr="00906B08">
        <w:rPr>
          <w:rFonts w:ascii="Arial" w:hAnsi="Arial" w:cs="Arial"/>
          <w:sz w:val="20"/>
          <w:szCs w:val="20"/>
        </w:rPr>
        <w:t>koliko izuzmemo još i</w:t>
      </w:r>
      <w:r w:rsidR="00675BD2" w:rsidRPr="00906B08">
        <w:rPr>
          <w:rFonts w:ascii="Arial" w:hAnsi="Arial" w:cs="Arial"/>
          <w:sz w:val="20"/>
          <w:szCs w:val="20"/>
        </w:rPr>
        <w:t xml:space="preserve"> ostvarene</w:t>
      </w:r>
      <w:r w:rsidR="00062B0A" w:rsidRPr="00906B08">
        <w:rPr>
          <w:rFonts w:ascii="Arial" w:hAnsi="Arial" w:cs="Arial"/>
          <w:sz w:val="20"/>
          <w:szCs w:val="20"/>
        </w:rPr>
        <w:t xml:space="preserve"> pomoći</w:t>
      </w:r>
      <w:r w:rsidRPr="00906B08">
        <w:rPr>
          <w:rFonts w:ascii="Arial" w:hAnsi="Arial" w:cs="Arial"/>
          <w:sz w:val="20"/>
          <w:szCs w:val="20"/>
        </w:rPr>
        <w:t xml:space="preserve"> (skupina 63) u iznosu od </w:t>
      </w:r>
      <w:r w:rsidR="00675BD2" w:rsidRPr="00906B08">
        <w:rPr>
          <w:rFonts w:ascii="Arial" w:hAnsi="Arial" w:cs="Arial"/>
          <w:sz w:val="20"/>
          <w:szCs w:val="20"/>
        </w:rPr>
        <w:t>8.822.343</w:t>
      </w:r>
      <w:r w:rsidR="00062B0A" w:rsidRPr="00906B08">
        <w:rPr>
          <w:rFonts w:ascii="Arial" w:hAnsi="Arial" w:cs="Arial"/>
          <w:sz w:val="20"/>
          <w:szCs w:val="20"/>
        </w:rPr>
        <w:t xml:space="preserve"> kn</w:t>
      </w:r>
      <w:r w:rsidR="00A11957" w:rsidRPr="00906B08">
        <w:rPr>
          <w:rFonts w:ascii="Arial" w:hAnsi="Arial" w:cs="Arial"/>
          <w:sz w:val="20"/>
          <w:szCs w:val="20"/>
        </w:rPr>
        <w:t xml:space="preserve">, prihodi su ostvareni </w:t>
      </w:r>
      <w:r w:rsidR="00FB436E" w:rsidRPr="00906B08">
        <w:rPr>
          <w:rFonts w:ascii="Arial" w:hAnsi="Arial" w:cs="Arial"/>
          <w:sz w:val="20"/>
          <w:szCs w:val="20"/>
        </w:rPr>
        <w:t>4</w:t>
      </w:r>
      <w:r w:rsidRPr="00906B08">
        <w:rPr>
          <w:rFonts w:ascii="Arial" w:hAnsi="Arial" w:cs="Arial"/>
          <w:sz w:val="20"/>
          <w:szCs w:val="20"/>
        </w:rPr>
        <w:t xml:space="preserve">% </w:t>
      </w:r>
      <w:r w:rsidR="00A11957" w:rsidRPr="00906B08">
        <w:rPr>
          <w:rFonts w:ascii="Arial" w:hAnsi="Arial" w:cs="Arial"/>
          <w:sz w:val="20"/>
          <w:szCs w:val="20"/>
        </w:rPr>
        <w:t>manje</w:t>
      </w:r>
      <w:r w:rsidR="00D46641" w:rsidRPr="00906B08">
        <w:rPr>
          <w:rFonts w:ascii="Arial" w:hAnsi="Arial" w:cs="Arial"/>
          <w:sz w:val="20"/>
          <w:szCs w:val="20"/>
        </w:rPr>
        <w:t xml:space="preserve"> od planiranih</w:t>
      </w:r>
      <w:r w:rsidR="00A11957" w:rsidRPr="00906B08">
        <w:rPr>
          <w:rFonts w:ascii="Arial" w:hAnsi="Arial" w:cs="Arial"/>
          <w:sz w:val="20"/>
          <w:szCs w:val="20"/>
        </w:rPr>
        <w:t xml:space="preserve"> ili </w:t>
      </w:r>
      <w:r w:rsidR="00A11957" w:rsidRPr="00906B08">
        <w:rPr>
          <w:rFonts w:ascii="Arial" w:hAnsi="Arial" w:cs="Arial"/>
          <w:b/>
          <w:sz w:val="20"/>
          <w:szCs w:val="20"/>
        </w:rPr>
        <w:t>2</w:t>
      </w:r>
      <w:r w:rsidR="00FB436E" w:rsidRPr="00906B08">
        <w:rPr>
          <w:rFonts w:ascii="Arial" w:hAnsi="Arial" w:cs="Arial"/>
          <w:b/>
          <w:sz w:val="20"/>
          <w:szCs w:val="20"/>
        </w:rPr>
        <w:t>3</w:t>
      </w:r>
      <w:r w:rsidR="00600167" w:rsidRPr="00906B08">
        <w:rPr>
          <w:rFonts w:ascii="Arial" w:hAnsi="Arial" w:cs="Arial"/>
          <w:b/>
          <w:sz w:val="20"/>
          <w:szCs w:val="20"/>
        </w:rPr>
        <w:t>.</w:t>
      </w:r>
      <w:r w:rsidR="00FB436E" w:rsidRPr="00906B08">
        <w:rPr>
          <w:rFonts w:ascii="Arial" w:hAnsi="Arial" w:cs="Arial"/>
          <w:b/>
          <w:sz w:val="20"/>
          <w:szCs w:val="20"/>
        </w:rPr>
        <w:t>521.827</w:t>
      </w:r>
      <w:r w:rsidR="00062B0A" w:rsidRPr="00906B08">
        <w:rPr>
          <w:rFonts w:ascii="Arial" w:hAnsi="Arial" w:cs="Arial"/>
          <w:sz w:val="20"/>
          <w:szCs w:val="20"/>
        </w:rPr>
        <w:t xml:space="preserve"> kn</w:t>
      </w:r>
      <w:r w:rsidR="00FB436E" w:rsidRPr="00906B08">
        <w:rPr>
          <w:rFonts w:ascii="Arial" w:hAnsi="Arial" w:cs="Arial"/>
          <w:sz w:val="20"/>
          <w:szCs w:val="20"/>
        </w:rPr>
        <w:t>, dok su u 2020. iznosili 20.318.690 kn, odnosno manji za 3.203.137 kn.</w:t>
      </w:r>
    </w:p>
    <w:p w14:paraId="3BBCB093" w14:textId="77777777" w:rsidR="008B01B8" w:rsidRPr="00906B08" w:rsidRDefault="008B01B8" w:rsidP="00E43486">
      <w:pPr>
        <w:jc w:val="both"/>
        <w:rPr>
          <w:rFonts w:ascii="Arial" w:hAnsi="Arial" w:cs="Arial"/>
          <w:b/>
          <w:sz w:val="20"/>
          <w:szCs w:val="20"/>
        </w:rPr>
      </w:pPr>
    </w:p>
    <w:p w14:paraId="7F7E79FA" w14:textId="50CEDE81" w:rsidR="00E43486" w:rsidRDefault="00E43486" w:rsidP="00E43486">
      <w:pPr>
        <w:jc w:val="both"/>
        <w:rPr>
          <w:rFonts w:ascii="Arial" w:hAnsi="Arial" w:cs="Arial"/>
          <w:b/>
          <w:sz w:val="18"/>
          <w:szCs w:val="18"/>
        </w:rPr>
      </w:pPr>
      <w:r w:rsidRPr="00906B08">
        <w:rPr>
          <w:rFonts w:ascii="Arial" w:hAnsi="Arial" w:cs="Arial"/>
          <w:b/>
          <w:sz w:val="20"/>
          <w:szCs w:val="20"/>
        </w:rPr>
        <w:t>Priho</w:t>
      </w:r>
      <w:r w:rsidR="00262333" w:rsidRPr="00906B08">
        <w:rPr>
          <w:rFonts w:ascii="Arial" w:hAnsi="Arial" w:cs="Arial"/>
          <w:b/>
          <w:sz w:val="20"/>
          <w:szCs w:val="20"/>
        </w:rPr>
        <w:t>di ustanova, Proračunskih korisnika</w:t>
      </w:r>
      <w:r w:rsidRPr="00906B08">
        <w:rPr>
          <w:rFonts w:ascii="Arial" w:hAnsi="Arial" w:cs="Arial"/>
          <w:b/>
          <w:sz w:val="20"/>
          <w:szCs w:val="20"/>
        </w:rPr>
        <w:t xml:space="preserve"> su ostvareni kako slijedi</w:t>
      </w:r>
      <w:r w:rsidRPr="00906B08">
        <w:rPr>
          <w:rFonts w:ascii="Arial" w:hAnsi="Arial" w:cs="Arial"/>
          <w:b/>
          <w:sz w:val="18"/>
          <w:szCs w:val="18"/>
        </w:rPr>
        <w:t>:</w:t>
      </w:r>
      <w:r w:rsidRPr="00261709">
        <w:rPr>
          <w:rFonts w:ascii="Arial" w:hAnsi="Arial" w:cs="Arial"/>
          <w:b/>
          <w:sz w:val="18"/>
          <w:szCs w:val="18"/>
        </w:rPr>
        <w:t xml:space="preserve"> </w:t>
      </w:r>
    </w:p>
    <w:p w14:paraId="2B3AD24E" w14:textId="77777777" w:rsidR="008B01B8" w:rsidRPr="00D04794" w:rsidRDefault="008B01B8" w:rsidP="00E4348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200" w:type="dxa"/>
        <w:tblInd w:w="118" w:type="dxa"/>
        <w:tblLook w:val="04A0" w:firstRow="1" w:lastRow="0" w:firstColumn="1" w:lastColumn="0" w:noHBand="0" w:noVBand="1"/>
      </w:tblPr>
      <w:tblGrid>
        <w:gridCol w:w="2980"/>
        <w:gridCol w:w="1840"/>
        <w:gridCol w:w="1601"/>
        <w:gridCol w:w="1659"/>
        <w:gridCol w:w="2060"/>
        <w:gridCol w:w="1840"/>
        <w:gridCol w:w="2220"/>
      </w:tblGrid>
      <w:tr w:rsidR="00066780" w:rsidRPr="00066780" w14:paraId="742ACC2C" w14:textId="77777777" w:rsidTr="00066780">
        <w:trPr>
          <w:trHeight w:val="76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279C995B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3DB40DB4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EFAC9"/>
            <w:vAlign w:val="center"/>
            <w:hideMark/>
          </w:tcPr>
          <w:p w14:paraId="3F7E7D78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I OSTALI PRIHODI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72A03E94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vAlign w:val="center"/>
            <w:hideMark/>
          </w:tcPr>
          <w:p w14:paraId="088DB9BE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OSTALI PRIHODI   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AC9"/>
            <w:vAlign w:val="center"/>
            <w:hideMark/>
          </w:tcPr>
          <w:p w14:paraId="401B58CF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VIŠAK / MANJAK sadržan u prihodima</w:t>
            </w:r>
          </w:p>
        </w:tc>
      </w:tr>
      <w:tr w:rsidR="00066780" w:rsidRPr="00066780" w14:paraId="495D092F" w14:textId="77777777" w:rsidTr="00066780">
        <w:trPr>
          <w:trHeight w:val="28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9F0F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1D2"/>
            <w:noWrap/>
            <w:vAlign w:val="center"/>
            <w:hideMark/>
          </w:tcPr>
          <w:p w14:paraId="58CDCBA7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1D2"/>
            <w:noWrap/>
            <w:vAlign w:val="center"/>
            <w:hideMark/>
          </w:tcPr>
          <w:p w14:paraId="6A0AB143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1D2"/>
            <w:noWrap/>
            <w:vAlign w:val="center"/>
            <w:hideMark/>
          </w:tcPr>
          <w:p w14:paraId="373F5140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1D2"/>
            <w:noWrap/>
            <w:vAlign w:val="center"/>
            <w:hideMark/>
          </w:tcPr>
          <w:p w14:paraId="131CCC09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1D2"/>
            <w:vAlign w:val="center"/>
            <w:hideMark/>
          </w:tcPr>
          <w:p w14:paraId="52CC2932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1D2"/>
            <w:noWrap/>
            <w:vAlign w:val="center"/>
            <w:hideMark/>
          </w:tcPr>
          <w:p w14:paraId="7D553847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066780" w:rsidRPr="00066780" w14:paraId="0DB91124" w14:textId="77777777" w:rsidTr="00066780">
        <w:trPr>
          <w:trHeight w:val="28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20A0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57B7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ED29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406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5AFB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23D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2CF1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066780" w:rsidRPr="00066780" w14:paraId="4F368F2B" w14:textId="77777777" w:rsidTr="00066780">
        <w:trPr>
          <w:trHeight w:val="28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75A4"/>
            <w:noWrap/>
            <w:vAlign w:val="center"/>
            <w:hideMark/>
          </w:tcPr>
          <w:p w14:paraId="0FD341A9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75A4"/>
            <w:noWrap/>
            <w:vAlign w:val="center"/>
            <w:hideMark/>
          </w:tcPr>
          <w:p w14:paraId="368AB0FC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990.523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75A4"/>
            <w:noWrap/>
            <w:vAlign w:val="center"/>
            <w:hideMark/>
          </w:tcPr>
          <w:p w14:paraId="01B47D0E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188.300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75A4"/>
            <w:noWrap/>
            <w:vAlign w:val="center"/>
            <w:hideMark/>
          </w:tcPr>
          <w:p w14:paraId="042E3CD5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201.094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75A4"/>
            <w:noWrap/>
            <w:vAlign w:val="center"/>
            <w:hideMark/>
          </w:tcPr>
          <w:p w14:paraId="7CE07A70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789.429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75A4"/>
            <w:vAlign w:val="center"/>
            <w:hideMark/>
          </w:tcPr>
          <w:p w14:paraId="4AC62153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75A4"/>
            <w:noWrap/>
            <w:vAlign w:val="center"/>
            <w:hideMark/>
          </w:tcPr>
          <w:p w14:paraId="2DF94771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15.138</w:t>
            </w:r>
          </w:p>
        </w:tc>
      </w:tr>
      <w:tr w:rsidR="00066780" w:rsidRPr="00066780" w14:paraId="4787CAAA" w14:textId="77777777" w:rsidTr="00066780">
        <w:trPr>
          <w:trHeight w:val="28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3C5DB"/>
            <w:noWrap/>
            <w:vAlign w:val="center"/>
            <w:hideMark/>
          </w:tcPr>
          <w:p w14:paraId="7B1F4BA5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5DB"/>
            <w:noWrap/>
            <w:vAlign w:val="center"/>
            <w:hideMark/>
          </w:tcPr>
          <w:p w14:paraId="7AA5EFC6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719.172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5DB"/>
            <w:noWrap/>
            <w:vAlign w:val="center"/>
            <w:hideMark/>
          </w:tcPr>
          <w:p w14:paraId="4AEC826E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142.000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5DB"/>
            <w:noWrap/>
            <w:vAlign w:val="center"/>
            <w:hideMark/>
          </w:tcPr>
          <w:p w14:paraId="6E548768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146.108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5DB"/>
            <w:noWrap/>
            <w:vAlign w:val="center"/>
            <w:hideMark/>
          </w:tcPr>
          <w:p w14:paraId="3BDB8BA1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573.064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5DB"/>
            <w:vAlign w:val="center"/>
            <w:hideMark/>
          </w:tcPr>
          <w:p w14:paraId="70887A39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3C5DB"/>
            <w:noWrap/>
            <w:vAlign w:val="center"/>
            <w:hideMark/>
          </w:tcPr>
          <w:p w14:paraId="3EC5DBA3" w14:textId="34D44A4E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-6.3</w:t>
            </w:r>
            <w:r w:rsidR="00813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</w:t>
            </w:r>
          </w:p>
        </w:tc>
      </w:tr>
      <w:tr w:rsidR="00066780" w:rsidRPr="00066780" w14:paraId="3016122A" w14:textId="77777777" w:rsidTr="00066780">
        <w:trPr>
          <w:trHeight w:val="28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BD8E7"/>
            <w:noWrap/>
            <w:vAlign w:val="center"/>
            <w:hideMark/>
          </w:tcPr>
          <w:p w14:paraId="3F76BC6A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8E7"/>
            <w:noWrap/>
            <w:vAlign w:val="center"/>
            <w:hideMark/>
          </w:tcPr>
          <w:p w14:paraId="4927147C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4.001.947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8E7"/>
            <w:noWrap/>
            <w:vAlign w:val="center"/>
            <w:hideMark/>
          </w:tcPr>
          <w:p w14:paraId="7B49BB0D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1.116.116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8E7"/>
            <w:noWrap/>
            <w:vAlign w:val="center"/>
            <w:hideMark/>
          </w:tcPr>
          <w:p w14:paraId="5699D20A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1.041.643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8E7"/>
            <w:noWrap/>
            <w:vAlign w:val="center"/>
            <w:hideMark/>
          </w:tcPr>
          <w:p w14:paraId="661BAE42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2.960.304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8E7"/>
            <w:vAlign w:val="center"/>
            <w:hideMark/>
          </w:tcPr>
          <w:p w14:paraId="4EF91801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284.342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BD8E7"/>
            <w:noWrap/>
            <w:vAlign w:val="center"/>
            <w:hideMark/>
          </w:tcPr>
          <w:p w14:paraId="451ACC22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127.515</w:t>
            </w:r>
          </w:p>
        </w:tc>
      </w:tr>
      <w:tr w:rsidR="00066780" w:rsidRPr="00066780" w14:paraId="31279C87" w14:textId="77777777" w:rsidTr="00066780">
        <w:trPr>
          <w:trHeight w:val="28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BF2"/>
            <w:noWrap/>
            <w:vAlign w:val="center"/>
            <w:hideMark/>
          </w:tcPr>
          <w:p w14:paraId="59C3989E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BF2"/>
            <w:noWrap/>
            <w:vAlign w:val="center"/>
            <w:hideMark/>
          </w:tcPr>
          <w:p w14:paraId="3FC2CA8D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1.066.841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BF2"/>
            <w:noWrap/>
            <w:vAlign w:val="center"/>
            <w:hideMark/>
          </w:tcPr>
          <w:p w14:paraId="2EE1654E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368.000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BF2"/>
            <w:noWrap/>
            <w:vAlign w:val="center"/>
            <w:hideMark/>
          </w:tcPr>
          <w:p w14:paraId="17F83243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394.946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BF2"/>
            <w:noWrap/>
            <w:vAlign w:val="center"/>
            <w:hideMark/>
          </w:tcPr>
          <w:p w14:paraId="27ACEE69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671.895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BF2"/>
            <w:vAlign w:val="center"/>
            <w:hideMark/>
          </w:tcPr>
          <w:p w14:paraId="30430338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239.800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BF2"/>
            <w:noWrap/>
            <w:vAlign w:val="center"/>
            <w:hideMark/>
          </w:tcPr>
          <w:p w14:paraId="15DF435A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13.435</w:t>
            </w:r>
          </w:p>
        </w:tc>
      </w:tr>
      <w:tr w:rsidR="00066780" w:rsidRPr="00066780" w14:paraId="23ABBB7B" w14:textId="77777777" w:rsidTr="00066780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FCC" w14:textId="77777777" w:rsidR="00066780" w:rsidRPr="00066780" w:rsidRDefault="00066780" w:rsidP="000667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0D43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2.794.533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93F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176.960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21C9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249.161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E514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2.545.372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790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5B19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730.151</w:t>
            </w:r>
          </w:p>
        </w:tc>
      </w:tr>
      <w:tr w:rsidR="00066780" w:rsidRPr="00066780" w14:paraId="7E70C913" w14:textId="77777777" w:rsidTr="00066780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0E4418A8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657296A2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9.573.016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7809A821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1.991.376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2583EDAE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2.032.952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noWrap/>
            <w:vAlign w:val="center"/>
            <w:hideMark/>
          </w:tcPr>
          <w:p w14:paraId="5141F112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7.540.064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AC9"/>
            <w:vAlign w:val="center"/>
            <w:hideMark/>
          </w:tcPr>
          <w:p w14:paraId="69CA169A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645.942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AC9"/>
            <w:noWrap/>
            <w:vAlign w:val="center"/>
            <w:hideMark/>
          </w:tcPr>
          <w:p w14:paraId="08D214B3" w14:textId="77777777" w:rsidR="00066780" w:rsidRPr="00066780" w:rsidRDefault="00066780" w:rsidP="000667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66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879.868</w:t>
            </w:r>
          </w:p>
        </w:tc>
      </w:tr>
    </w:tbl>
    <w:p w14:paraId="23DB5223" w14:textId="0AD2D5C6" w:rsidR="00B915B2" w:rsidRDefault="00B915B2" w:rsidP="00544F23">
      <w:pPr>
        <w:spacing w:after="0" w:line="240" w:lineRule="auto"/>
        <w:jc w:val="both"/>
        <w:rPr>
          <w:noProof/>
          <w:lang w:eastAsia="hr-HR"/>
        </w:rPr>
      </w:pPr>
    </w:p>
    <w:p w14:paraId="555FD23D" w14:textId="5607CDE4" w:rsidR="00B777C5" w:rsidRDefault="00B777C5" w:rsidP="00544F23">
      <w:pPr>
        <w:spacing w:after="0" w:line="240" w:lineRule="auto"/>
        <w:jc w:val="both"/>
        <w:rPr>
          <w:noProof/>
          <w:lang w:eastAsia="hr-HR"/>
        </w:rPr>
      </w:pPr>
    </w:p>
    <w:p w14:paraId="0472756E" w14:textId="360FA905" w:rsidR="00B777C5" w:rsidRDefault="00B777C5" w:rsidP="00544F23">
      <w:pPr>
        <w:spacing w:after="0" w:line="240" w:lineRule="auto"/>
        <w:jc w:val="both"/>
        <w:rPr>
          <w:noProof/>
          <w:lang w:eastAsia="hr-HR"/>
        </w:rPr>
      </w:pPr>
    </w:p>
    <w:p w14:paraId="11D3F72A" w14:textId="6B347B62" w:rsidR="00B777C5" w:rsidRDefault="00B777C5" w:rsidP="00544F23">
      <w:pPr>
        <w:spacing w:after="0" w:line="240" w:lineRule="auto"/>
        <w:jc w:val="both"/>
        <w:rPr>
          <w:noProof/>
          <w:lang w:eastAsia="hr-HR"/>
        </w:rPr>
      </w:pPr>
    </w:p>
    <w:p w14:paraId="0C2029B8" w14:textId="2933A821" w:rsidR="00B777C5" w:rsidRDefault="00B777C5" w:rsidP="00544F2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DC5BAA7" w14:textId="77777777" w:rsidR="00745F3A" w:rsidRDefault="00745F3A" w:rsidP="00544F2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1EF918F" w14:textId="77777777" w:rsidR="00EB5F45" w:rsidRDefault="00EB5F45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1AD3FC4" w14:textId="4E3E89E8" w:rsidR="00EB5F45" w:rsidRDefault="00F8117F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503D6D4F" wp14:editId="02B969C9">
            <wp:extent cx="6487795" cy="3243856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3EEE54" w14:textId="299B7F27" w:rsidR="00EB5F45" w:rsidRDefault="00EB5F45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4D69D36F" w14:textId="6B0B6061" w:rsidR="008964F4" w:rsidRDefault="008964F4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2E7D5895" w14:textId="77777777" w:rsidR="008964F4" w:rsidRDefault="008964F4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C5F08AB" w14:textId="5C6596B5" w:rsidR="00E43486" w:rsidRPr="00906B08" w:rsidRDefault="00262333" w:rsidP="003F060A">
      <w:pPr>
        <w:spacing w:after="1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12C98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E43486" w:rsidRPr="00906B08">
        <w:rPr>
          <w:rFonts w:ascii="Arial" w:hAnsi="Arial" w:cs="Arial"/>
          <w:b/>
          <w:sz w:val="20"/>
          <w:szCs w:val="20"/>
          <w:u w:val="single"/>
          <w:lang w:eastAsia="hr-HR"/>
        </w:rPr>
        <w:t>Prihodi poslovanja</w:t>
      </w:r>
      <w:r w:rsidR="00E43486" w:rsidRPr="00906B08">
        <w:rPr>
          <w:rFonts w:ascii="Arial" w:hAnsi="Arial" w:cs="Arial"/>
          <w:b/>
          <w:sz w:val="20"/>
          <w:szCs w:val="20"/>
          <w:lang w:eastAsia="hr-HR"/>
        </w:rPr>
        <w:t xml:space="preserve"> (razred 6) 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7837FD" w:rsidRPr="00906B08">
        <w:rPr>
          <w:rFonts w:ascii="Arial" w:hAnsi="Arial" w:cs="Arial"/>
          <w:b/>
          <w:bCs/>
          <w:sz w:val="20"/>
          <w:szCs w:val="20"/>
          <w:lang w:eastAsia="hr-HR"/>
        </w:rPr>
        <w:t>34.259.875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kn ili </w:t>
      </w:r>
      <w:r w:rsidR="007837FD" w:rsidRPr="00906B08">
        <w:rPr>
          <w:rFonts w:ascii="Arial" w:hAnsi="Arial" w:cs="Arial"/>
          <w:sz w:val="20"/>
          <w:szCs w:val="20"/>
          <w:lang w:eastAsia="hr-HR"/>
        </w:rPr>
        <w:t>31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7837FD" w:rsidRPr="00906B08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nego prethodne godine</w:t>
      </w:r>
      <w:r w:rsidR="007837FD" w:rsidRPr="00906B08">
        <w:rPr>
          <w:rFonts w:ascii="Arial" w:hAnsi="Arial" w:cs="Arial"/>
          <w:sz w:val="20"/>
          <w:szCs w:val="20"/>
          <w:lang w:eastAsia="hr-HR"/>
        </w:rPr>
        <w:t>.</w:t>
      </w:r>
      <w:r w:rsidR="00B95B79" w:rsidRPr="00906B08">
        <w:rPr>
          <w:noProof/>
          <w:sz w:val="24"/>
          <w:szCs w:val="24"/>
        </w:rPr>
        <w:t xml:space="preserve"> </w:t>
      </w:r>
      <w:r w:rsidR="00B95B79" w:rsidRPr="00906B08">
        <w:rPr>
          <w:rFonts w:ascii="Arial" w:hAnsi="Arial" w:cs="Arial"/>
          <w:noProof/>
          <w:sz w:val="20"/>
          <w:szCs w:val="20"/>
        </w:rPr>
        <w:t xml:space="preserve">Povećanje prihoda poslovanja Grada gotovo po svim stavkama Proračuna, posljedica je smanjenja utjecaja epidemije koronavirusa na gospodarsko kretanje, te veće uprihođenje radi bolje turističke sezone. </w:t>
      </w:r>
      <w:r w:rsidR="007837FD" w:rsidRPr="00906B08">
        <w:rPr>
          <w:rFonts w:ascii="Arial" w:hAnsi="Arial" w:cs="Arial"/>
          <w:sz w:val="20"/>
          <w:szCs w:val="20"/>
        </w:rPr>
        <w:t>Izvršenje ovog prihoda jednako je planu.</w:t>
      </w:r>
    </w:p>
    <w:p w14:paraId="57AF34A1" w14:textId="0D1E49B8" w:rsidR="00B7148A" w:rsidRPr="00521CB6" w:rsidRDefault="00E43486" w:rsidP="00521CB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Prihodi od poreza</w:t>
      </w:r>
      <w:r w:rsidRPr="00906B08">
        <w:rPr>
          <w:rFonts w:ascii="Arial" w:hAnsi="Arial" w:cs="Arial"/>
          <w:sz w:val="20"/>
          <w:szCs w:val="20"/>
        </w:rPr>
        <w:t xml:space="preserve"> </w:t>
      </w:r>
      <w:r w:rsidRPr="00906B08">
        <w:rPr>
          <w:rFonts w:ascii="Arial" w:hAnsi="Arial" w:cs="Arial"/>
          <w:b/>
          <w:sz w:val="20"/>
          <w:szCs w:val="20"/>
        </w:rPr>
        <w:t xml:space="preserve">(skupina 61) </w:t>
      </w:r>
      <w:r w:rsidRPr="00906B08">
        <w:rPr>
          <w:rFonts w:ascii="Arial" w:hAnsi="Arial" w:cs="Arial"/>
          <w:sz w:val="20"/>
          <w:szCs w:val="20"/>
        </w:rPr>
        <w:t xml:space="preserve">su ostvareni u iznosu od </w:t>
      </w:r>
      <w:r w:rsidR="003F060A" w:rsidRPr="00906B08">
        <w:rPr>
          <w:rFonts w:ascii="Arial" w:hAnsi="Arial" w:cs="Arial"/>
          <w:b/>
          <w:bCs/>
          <w:sz w:val="20"/>
          <w:szCs w:val="20"/>
        </w:rPr>
        <w:t>11.920.132</w:t>
      </w:r>
      <w:r w:rsidR="004C34CE" w:rsidRPr="00906B08">
        <w:rPr>
          <w:rFonts w:ascii="Arial" w:hAnsi="Arial" w:cs="Arial"/>
          <w:sz w:val="20"/>
          <w:szCs w:val="20"/>
        </w:rPr>
        <w:t xml:space="preserve"> kn </w:t>
      </w:r>
      <w:r w:rsidRPr="00906B08">
        <w:rPr>
          <w:rFonts w:ascii="Arial" w:hAnsi="Arial" w:cs="Arial"/>
          <w:sz w:val="20"/>
          <w:szCs w:val="20"/>
        </w:rPr>
        <w:t>ili</w:t>
      </w:r>
      <w:r w:rsidR="00980132" w:rsidRPr="00906B08">
        <w:rPr>
          <w:rFonts w:ascii="Arial" w:hAnsi="Arial" w:cs="Arial"/>
          <w:sz w:val="20"/>
          <w:szCs w:val="20"/>
        </w:rPr>
        <w:t xml:space="preserve"> 2</w:t>
      </w:r>
      <w:r w:rsidR="003F060A" w:rsidRPr="00906B08">
        <w:rPr>
          <w:rFonts w:ascii="Arial" w:hAnsi="Arial" w:cs="Arial"/>
          <w:sz w:val="20"/>
          <w:szCs w:val="20"/>
        </w:rPr>
        <w:t>53.310</w:t>
      </w:r>
      <w:r w:rsidR="003631A4" w:rsidRPr="00906B08">
        <w:rPr>
          <w:rFonts w:ascii="Arial" w:hAnsi="Arial" w:cs="Arial"/>
          <w:sz w:val="20"/>
          <w:szCs w:val="20"/>
        </w:rPr>
        <w:t xml:space="preserve"> kn</w:t>
      </w:r>
      <w:r w:rsidRPr="00906B08">
        <w:rPr>
          <w:rFonts w:ascii="Arial" w:hAnsi="Arial" w:cs="Arial"/>
          <w:sz w:val="20"/>
          <w:szCs w:val="20"/>
        </w:rPr>
        <w:t xml:space="preserve"> (</w:t>
      </w:r>
      <w:r w:rsidR="003F060A" w:rsidRPr="00906B08">
        <w:rPr>
          <w:rFonts w:ascii="Arial" w:hAnsi="Arial" w:cs="Arial"/>
          <w:sz w:val="20"/>
          <w:szCs w:val="20"/>
        </w:rPr>
        <w:t>2</w:t>
      </w:r>
      <w:r w:rsidRPr="00906B08">
        <w:rPr>
          <w:rFonts w:ascii="Arial" w:hAnsi="Arial" w:cs="Arial"/>
          <w:sz w:val="20"/>
          <w:szCs w:val="20"/>
        </w:rPr>
        <w:t xml:space="preserve">%) </w:t>
      </w:r>
      <w:r w:rsidR="003F060A" w:rsidRPr="00906B08">
        <w:rPr>
          <w:rFonts w:ascii="Arial" w:hAnsi="Arial" w:cs="Arial"/>
          <w:sz w:val="20"/>
          <w:szCs w:val="20"/>
        </w:rPr>
        <w:t>više</w:t>
      </w:r>
      <w:r w:rsidRPr="00906B08">
        <w:rPr>
          <w:rFonts w:ascii="Arial" w:hAnsi="Arial" w:cs="Arial"/>
          <w:sz w:val="20"/>
          <w:szCs w:val="20"/>
        </w:rPr>
        <w:t xml:space="preserve"> od ostvarenog prethodne godine</w:t>
      </w:r>
      <w:r w:rsidR="0065192D">
        <w:rPr>
          <w:rFonts w:ascii="Arial" w:hAnsi="Arial" w:cs="Arial"/>
          <w:sz w:val="20"/>
          <w:szCs w:val="20"/>
        </w:rPr>
        <w:t>, a</w:t>
      </w:r>
      <w:r w:rsidR="007958ED" w:rsidRPr="00906B08">
        <w:rPr>
          <w:rFonts w:ascii="Arial" w:hAnsi="Arial" w:cs="Arial"/>
          <w:sz w:val="20"/>
          <w:szCs w:val="20"/>
        </w:rPr>
        <w:t xml:space="preserve"> </w:t>
      </w:r>
      <w:r w:rsidR="003F060A" w:rsidRPr="00906B08">
        <w:rPr>
          <w:rFonts w:ascii="Arial" w:hAnsi="Arial" w:cs="Arial"/>
          <w:sz w:val="20"/>
          <w:szCs w:val="20"/>
        </w:rPr>
        <w:t>4</w:t>
      </w:r>
      <w:r w:rsidR="00C76ED6" w:rsidRPr="00906B08">
        <w:rPr>
          <w:rFonts w:ascii="Arial" w:hAnsi="Arial" w:cs="Arial"/>
          <w:sz w:val="20"/>
          <w:szCs w:val="20"/>
        </w:rPr>
        <w:t xml:space="preserve">% </w:t>
      </w:r>
      <w:r w:rsidR="007958ED" w:rsidRPr="00906B08">
        <w:rPr>
          <w:rFonts w:ascii="Arial" w:hAnsi="Arial" w:cs="Arial"/>
          <w:sz w:val="20"/>
          <w:szCs w:val="20"/>
        </w:rPr>
        <w:t>manje</w:t>
      </w:r>
      <w:r w:rsidR="00C76ED6" w:rsidRPr="00906B08">
        <w:rPr>
          <w:rFonts w:ascii="Arial" w:hAnsi="Arial" w:cs="Arial"/>
          <w:sz w:val="20"/>
          <w:szCs w:val="20"/>
        </w:rPr>
        <w:t xml:space="preserve"> u odnosu na planirane</w:t>
      </w:r>
      <w:r w:rsidRPr="00906B08">
        <w:rPr>
          <w:rFonts w:ascii="Arial" w:hAnsi="Arial" w:cs="Arial"/>
          <w:sz w:val="20"/>
          <w:szCs w:val="20"/>
        </w:rPr>
        <w:t xml:space="preserve">. Prihod od poreza i prireza na dohodak iznosi </w:t>
      </w:r>
      <w:r w:rsidR="006E18F7" w:rsidRPr="00906B08">
        <w:rPr>
          <w:rFonts w:ascii="Arial" w:hAnsi="Arial" w:cs="Arial"/>
          <w:sz w:val="20"/>
          <w:szCs w:val="20"/>
        </w:rPr>
        <w:t>7.548.346</w:t>
      </w:r>
      <w:r w:rsidR="003631A4" w:rsidRPr="00906B08">
        <w:rPr>
          <w:rFonts w:ascii="Arial" w:hAnsi="Arial" w:cs="Arial"/>
          <w:sz w:val="20"/>
          <w:szCs w:val="20"/>
        </w:rPr>
        <w:t xml:space="preserve"> kn</w:t>
      </w:r>
      <w:r w:rsidRPr="00906B08">
        <w:rPr>
          <w:rFonts w:ascii="Arial" w:hAnsi="Arial" w:cs="Arial"/>
          <w:sz w:val="20"/>
          <w:szCs w:val="20"/>
        </w:rPr>
        <w:t xml:space="preserve"> i za </w:t>
      </w:r>
      <w:r w:rsidR="00130331" w:rsidRPr="00906B08">
        <w:rPr>
          <w:rFonts w:ascii="Arial" w:hAnsi="Arial" w:cs="Arial"/>
          <w:sz w:val="20"/>
          <w:szCs w:val="20"/>
        </w:rPr>
        <w:t>1.</w:t>
      </w:r>
      <w:r w:rsidR="006E18F7" w:rsidRPr="00906B08">
        <w:rPr>
          <w:rFonts w:ascii="Arial" w:hAnsi="Arial" w:cs="Arial"/>
          <w:sz w:val="20"/>
          <w:szCs w:val="20"/>
        </w:rPr>
        <w:t>348.116</w:t>
      </w:r>
      <w:r w:rsidR="000D12AD" w:rsidRPr="00906B08">
        <w:rPr>
          <w:rFonts w:ascii="Arial" w:hAnsi="Arial" w:cs="Arial"/>
          <w:sz w:val="20"/>
          <w:szCs w:val="20"/>
        </w:rPr>
        <w:t xml:space="preserve"> kn</w:t>
      </w:r>
      <w:r w:rsidRPr="00906B08">
        <w:rPr>
          <w:rFonts w:ascii="Arial" w:hAnsi="Arial" w:cs="Arial"/>
          <w:sz w:val="20"/>
          <w:szCs w:val="20"/>
        </w:rPr>
        <w:t xml:space="preserve"> je </w:t>
      </w:r>
      <w:r w:rsidR="003E6962" w:rsidRPr="00906B08">
        <w:rPr>
          <w:rFonts w:ascii="Arial" w:hAnsi="Arial" w:cs="Arial"/>
          <w:sz w:val="20"/>
          <w:szCs w:val="20"/>
        </w:rPr>
        <w:t>manj</w:t>
      </w:r>
      <w:r w:rsidRPr="00906B08">
        <w:rPr>
          <w:rFonts w:ascii="Arial" w:hAnsi="Arial" w:cs="Arial"/>
          <w:sz w:val="20"/>
          <w:szCs w:val="20"/>
        </w:rPr>
        <w:t xml:space="preserve">i </w:t>
      </w:r>
      <w:r w:rsidR="00130331" w:rsidRPr="00906B08">
        <w:rPr>
          <w:rFonts w:ascii="Arial" w:hAnsi="Arial" w:cs="Arial"/>
          <w:sz w:val="20"/>
          <w:szCs w:val="20"/>
        </w:rPr>
        <w:t>(</w:t>
      </w:r>
      <w:r w:rsidR="003E6962" w:rsidRPr="00906B08">
        <w:rPr>
          <w:rFonts w:ascii="Arial" w:hAnsi="Arial" w:cs="Arial"/>
          <w:sz w:val="20"/>
          <w:szCs w:val="20"/>
        </w:rPr>
        <w:t>1</w:t>
      </w:r>
      <w:r w:rsidR="006E18F7" w:rsidRPr="00906B08">
        <w:rPr>
          <w:rFonts w:ascii="Arial" w:hAnsi="Arial" w:cs="Arial"/>
          <w:sz w:val="20"/>
          <w:szCs w:val="20"/>
        </w:rPr>
        <w:t>5</w:t>
      </w:r>
      <w:r w:rsidR="000D12AD" w:rsidRPr="00906B08">
        <w:rPr>
          <w:rFonts w:ascii="Arial" w:hAnsi="Arial" w:cs="Arial"/>
          <w:sz w:val="20"/>
          <w:szCs w:val="20"/>
        </w:rPr>
        <w:t>%)</w:t>
      </w:r>
      <w:r w:rsidRPr="00906B08">
        <w:rPr>
          <w:rFonts w:ascii="Arial" w:hAnsi="Arial" w:cs="Arial"/>
          <w:sz w:val="20"/>
          <w:szCs w:val="20"/>
        </w:rPr>
        <w:t xml:space="preserve"> nego prethodne god</w:t>
      </w:r>
      <w:r w:rsidR="003E6962" w:rsidRPr="00906B08">
        <w:rPr>
          <w:rFonts w:ascii="Arial" w:hAnsi="Arial" w:cs="Arial"/>
          <w:sz w:val="20"/>
          <w:szCs w:val="20"/>
        </w:rPr>
        <w:t>ine</w:t>
      </w:r>
      <w:r w:rsidR="00130331" w:rsidRPr="00906B08">
        <w:rPr>
          <w:rFonts w:ascii="Arial" w:hAnsi="Arial" w:cs="Arial"/>
          <w:sz w:val="20"/>
          <w:szCs w:val="20"/>
        </w:rPr>
        <w:t>.</w:t>
      </w:r>
      <w:r w:rsidRPr="00906B08">
        <w:rPr>
          <w:rFonts w:ascii="Arial" w:hAnsi="Arial" w:cs="Arial"/>
          <w:sz w:val="20"/>
          <w:szCs w:val="20"/>
        </w:rPr>
        <w:t xml:space="preserve"> </w:t>
      </w:r>
      <w:r w:rsidR="006E18F7" w:rsidRPr="00906B08">
        <w:rPr>
          <w:rFonts w:ascii="Arial" w:hAnsi="Arial" w:cs="Arial"/>
          <w:sz w:val="20"/>
          <w:szCs w:val="20"/>
        </w:rPr>
        <w:t>Smanjenje prihoda od poreza i prireza</w:t>
      </w:r>
      <w:r w:rsidR="006E18F7" w:rsidRPr="006E18F7">
        <w:rPr>
          <w:rFonts w:ascii="Arial" w:hAnsi="Arial" w:cs="Arial"/>
          <w:sz w:val="20"/>
          <w:szCs w:val="20"/>
        </w:rPr>
        <w:t xml:space="preserve"> u rasporedu, rezultira većim povratom poreza i prireza na dohodak po godišnjoj prijavi. </w:t>
      </w:r>
      <w:r w:rsidRPr="006E18F7">
        <w:rPr>
          <w:rFonts w:ascii="Arial" w:hAnsi="Arial" w:cs="Arial"/>
          <w:sz w:val="20"/>
          <w:szCs w:val="20"/>
        </w:rPr>
        <w:t>Porez na promet nekretnina</w:t>
      </w:r>
      <w:r w:rsidRPr="00312C98">
        <w:rPr>
          <w:rFonts w:ascii="Arial" w:hAnsi="Arial" w:cs="Arial"/>
          <w:sz w:val="20"/>
          <w:szCs w:val="20"/>
        </w:rPr>
        <w:t xml:space="preserve"> (od prodaje) </w:t>
      </w:r>
      <w:r w:rsidR="006E18F7">
        <w:rPr>
          <w:rFonts w:ascii="Arial" w:hAnsi="Arial" w:cs="Arial"/>
          <w:sz w:val="20"/>
          <w:szCs w:val="20"/>
        </w:rPr>
        <w:t>veći</w:t>
      </w:r>
      <w:r w:rsidRPr="00312C98">
        <w:rPr>
          <w:rFonts w:ascii="Arial" w:hAnsi="Arial" w:cs="Arial"/>
          <w:sz w:val="20"/>
          <w:szCs w:val="20"/>
        </w:rPr>
        <w:t xml:space="preserve"> je za </w:t>
      </w:r>
      <w:r w:rsidR="006E18F7">
        <w:rPr>
          <w:rFonts w:ascii="Arial" w:hAnsi="Arial" w:cs="Arial"/>
          <w:sz w:val="20"/>
          <w:szCs w:val="20"/>
        </w:rPr>
        <w:t>1.200.968</w:t>
      </w:r>
      <w:r w:rsidR="00630E8E" w:rsidRPr="00312C98">
        <w:rPr>
          <w:rFonts w:ascii="Arial" w:hAnsi="Arial" w:cs="Arial"/>
          <w:sz w:val="20"/>
          <w:szCs w:val="20"/>
        </w:rPr>
        <w:t xml:space="preserve"> kn ili </w:t>
      </w:r>
      <w:r w:rsidR="006E18F7">
        <w:rPr>
          <w:rFonts w:ascii="Arial" w:hAnsi="Arial" w:cs="Arial"/>
          <w:sz w:val="20"/>
          <w:szCs w:val="20"/>
        </w:rPr>
        <w:t>70</w:t>
      </w:r>
      <w:r w:rsidRPr="00312C98">
        <w:rPr>
          <w:rFonts w:ascii="Arial" w:hAnsi="Arial" w:cs="Arial"/>
          <w:sz w:val="20"/>
          <w:szCs w:val="20"/>
        </w:rPr>
        <w:t xml:space="preserve">% u odnosu na prethodnu godinu, a ostvaren je u iznosu </w:t>
      </w:r>
      <w:r w:rsidR="006E18F7">
        <w:rPr>
          <w:rFonts w:ascii="Arial" w:hAnsi="Arial" w:cs="Arial"/>
          <w:sz w:val="20"/>
          <w:szCs w:val="20"/>
        </w:rPr>
        <w:t>2.927.570</w:t>
      </w:r>
      <w:r w:rsidR="00630E8E" w:rsidRPr="00312C98">
        <w:rPr>
          <w:rFonts w:ascii="Arial" w:hAnsi="Arial" w:cs="Arial"/>
          <w:sz w:val="20"/>
          <w:szCs w:val="20"/>
        </w:rPr>
        <w:t xml:space="preserve"> kn</w:t>
      </w:r>
      <w:r w:rsidRPr="00312C98">
        <w:rPr>
          <w:rFonts w:ascii="Arial" w:hAnsi="Arial" w:cs="Arial"/>
          <w:sz w:val="20"/>
          <w:szCs w:val="20"/>
        </w:rPr>
        <w:t xml:space="preserve">. Prihodi od </w:t>
      </w:r>
      <w:r w:rsidR="00B662E4" w:rsidRPr="00312C98">
        <w:rPr>
          <w:rFonts w:ascii="Arial" w:hAnsi="Arial" w:cs="Arial"/>
          <w:sz w:val="20"/>
          <w:szCs w:val="20"/>
        </w:rPr>
        <w:t xml:space="preserve">ostalih </w:t>
      </w:r>
      <w:r w:rsidRPr="00312C98">
        <w:rPr>
          <w:rFonts w:ascii="Arial" w:hAnsi="Arial" w:cs="Arial"/>
          <w:sz w:val="20"/>
          <w:szCs w:val="20"/>
        </w:rPr>
        <w:t>gradskih poreza</w:t>
      </w:r>
      <w:r w:rsidR="00630E8E" w:rsidRPr="00312C98">
        <w:rPr>
          <w:rFonts w:ascii="Arial" w:hAnsi="Arial" w:cs="Arial"/>
          <w:sz w:val="20"/>
          <w:szCs w:val="20"/>
        </w:rPr>
        <w:t xml:space="preserve"> (porez na kuće za odmor, porez na potrošnju, porez na tvrtku</w:t>
      </w:r>
      <w:r w:rsidR="00B662E4" w:rsidRPr="00312C98">
        <w:rPr>
          <w:rFonts w:ascii="Arial" w:hAnsi="Arial" w:cs="Arial"/>
          <w:sz w:val="20"/>
          <w:szCs w:val="20"/>
        </w:rPr>
        <w:t>-ukinut)</w:t>
      </w:r>
      <w:r w:rsidR="00E82FD3" w:rsidRPr="00312C98">
        <w:rPr>
          <w:rFonts w:ascii="Arial" w:hAnsi="Arial" w:cs="Arial"/>
          <w:sz w:val="20"/>
          <w:szCs w:val="20"/>
        </w:rPr>
        <w:t xml:space="preserve"> su za </w:t>
      </w:r>
      <w:r w:rsidR="003E6962">
        <w:rPr>
          <w:rFonts w:ascii="Arial" w:hAnsi="Arial" w:cs="Arial"/>
          <w:sz w:val="20"/>
          <w:szCs w:val="20"/>
        </w:rPr>
        <w:t>3</w:t>
      </w:r>
      <w:r w:rsidR="00090BE1">
        <w:rPr>
          <w:rFonts w:ascii="Arial" w:hAnsi="Arial" w:cs="Arial"/>
          <w:sz w:val="20"/>
          <w:szCs w:val="20"/>
        </w:rPr>
        <w:t>8</w:t>
      </w:r>
      <w:r w:rsidRPr="00312C98">
        <w:rPr>
          <w:rFonts w:ascii="Arial" w:hAnsi="Arial" w:cs="Arial"/>
          <w:sz w:val="20"/>
          <w:szCs w:val="20"/>
        </w:rPr>
        <w:t xml:space="preserve">% </w:t>
      </w:r>
      <w:r w:rsidR="00090BE1">
        <w:rPr>
          <w:rFonts w:ascii="Arial" w:hAnsi="Arial" w:cs="Arial"/>
          <w:sz w:val="20"/>
          <w:szCs w:val="20"/>
        </w:rPr>
        <w:t>veći</w:t>
      </w:r>
      <w:r w:rsidR="00C76ED6" w:rsidRPr="00312C98">
        <w:rPr>
          <w:rFonts w:ascii="Arial" w:hAnsi="Arial" w:cs="Arial"/>
          <w:sz w:val="20"/>
          <w:szCs w:val="20"/>
        </w:rPr>
        <w:t xml:space="preserve"> u odnosu na prethodnu godinu</w:t>
      </w:r>
      <w:r w:rsidRPr="00312C98">
        <w:rPr>
          <w:rFonts w:ascii="Arial" w:hAnsi="Arial" w:cs="Arial"/>
          <w:sz w:val="20"/>
          <w:szCs w:val="20"/>
        </w:rPr>
        <w:t xml:space="preserve"> (ili </w:t>
      </w:r>
      <w:r w:rsidR="003E6962">
        <w:rPr>
          <w:rFonts w:ascii="Arial" w:hAnsi="Arial" w:cs="Arial"/>
          <w:sz w:val="20"/>
          <w:szCs w:val="20"/>
        </w:rPr>
        <w:t>4</w:t>
      </w:r>
      <w:r w:rsidR="00090BE1">
        <w:rPr>
          <w:rFonts w:ascii="Arial" w:hAnsi="Arial" w:cs="Arial"/>
          <w:sz w:val="20"/>
          <w:szCs w:val="20"/>
        </w:rPr>
        <w:t>00.458</w:t>
      </w:r>
      <w:r w:rsidR="00B662E4" w:rsidRPr="00312C98">
        <w:rPr>
          <w:rFonts w:ascii="Arial" w:hAnsi="Arial" w:cs="Arial"/>
          <w:sz w:val="20"/>
          <w:szCs w:val="20"/>
        </w:rPr>
        <w:t xml:space="preserve"> kn</w:t>
      </w:r>
      <w:r w:rsidRPr="00312C98">
        <w:rPr>
          <w:rFonts w:ascii="Arial" w:hAnsi="Arial" w:cs="Arial"/>
          <w:sz w:val="20"/>
          <w:szCs w:val="20"/>
        </w:rPr>
        <w:t>) i iznose 1.</w:t>
      </w:r>
      <w:r w:rsidR="00090BE1">
        <w:rPr>
          <w:rFonts w:ascii="Arial" w:hAnsi="Arial" w:cs="Arial"/>
          <w:sz w:val="20"/>
          <w:szCs w:val="20"/>
        </w:rPr>
        <w:t>444.216</w:t>
      </w:r>
      <w:r w:rsidR="00B662E4" w:rsidRPr="00312C98">
        <w:rPr>
          <w:rFonts w:ascii="Arial" w:hAnsi="Arial" w:cs="Arial"/>
          <w:sz w:val="20"/>
          <w:szCs w:val="20"/>
        </w:rPr>
        <w:t xml:space="preserve"> kn</w:t>
      </w:r>
      <w:r w:rsidRPr="00312C98">
        <w:rPr>
          <w:rFonts w:ascii="Arial" w:hAnsi="Arial" w:cs="Arial"/>
          <w:sz w:val="20"/>
          <w:szCs w:val="20"/>
        </w:rPr>
        <w:t xml:space="preserve">. </w:t>
      </w:r>
    </w:p>
    <w:p w14:paraId="2908AF22" w14:textId="3E08DB34" w:rsidR="00521CB6" w:rsidRDefault="00521CB6" w:rsidP="00911279">
      <w:pPr>
        <w:jc w:val="both"/>
        <w:rPr>
          <w:rFonts w:ascii="Arial" w:hAnsi="Arial" w:cs="Arial"/>
          <w:sz w:val="18"/>
          <w:szCs w:val="18"/>
        </w:rPr>
      </w:pPr>
    </w:p>
    <w:p w14:paraId="74CE3F57" w14:textId="4CEB64B2" w:rsidR="00911279" w:rsidRDefault="00911279" w:rsidP="009112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noProof/>
        </w:rPr>
        <w:drawing>
          <wp:inline distT="0" distB="0" distL="0" distR="0" wp14:anchorId="7D82D6FA" wp14:editId="2794637D">
            <wp:extent cx="5455920" cy="3939538"/>
            <wp:effectExtent l="38100" t="57150" r="30480" b="2349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116DF2" w14:textId="77777777" w:rsidR="00521CB6" w:rsidRDefault="00521CB6" w:rsidP="00521CB6">
      <w:pPr>
        <w:ind w:firstLine="720"/>
        <w:jc w:val="both"/>
        <w:rPr>
          <w:rFonts w:ascii="Arial" w:hAnsi="Arial" w:cs="Arial"/>
          <w:sz w:val="18"/>
          <w:szCs w:val="18"/>
        </w:rPr>
      </w:pPr>
    </w:p>
    <w:p w14:paraId="559B1145" w14:textId="5FB3ACDC" w:rsidR="00EB5F45" w:rsidRPr="00521CB6" w:rsidRDefault="00E43486" w:rsidP="00521CB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1A6164">
        <w:rPr>
          <w:rFonts w:ascii="Arial" w:hAnsi="Arial" w:cs="Arial"/>
          <w:sz w:val="18"/>
          <w:szCs w:val="18"/>
        </w:rPr>
        <w:t xml:space="preserve"> </w:t>
      </w:r>
    </w:p>
    <w:p w14:paraId="54613B24" w14:textId="5DFEC5B3" w:rsidR="00521CB6" w:rsidRDefault="00E43486" w:rsidP="00521C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Pomoći (skupina 63)</w:t>
      </w:r>
      <w:r w:rsidRPr="00776A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AF3">
        <w:rPr>
          <w:rFonts w:ascii="Arial" w:hAnsi="Arial" w:cs="Arial"/>
          <w:sz w:val="20"/>
          <w:szCs w:val="20"/>
        </w:rPr>
        <w:t>su ostvarene</w:t>
      </w:r>
      <w:r w:rsidRPr="00312C98">
        <w:rPr>
          <w:rFonts w:ascii="Arial" w:hAnsi="Arial" w:cs="Arial"/>
          <w:sz w:val="20"/>
          <w:szCs w:val="20"/>
        </w:rPr>
        <w:t xml:space="preserve"> u </w:t>
      </w:r>
      <w:r w:rsidRPr="0046640A">
        <w:rPr>
          <w:rFonts w:ascii="Arial" w:hAnsi="Arial" w:cs="Arial"/>
          <w:sz w:val="20"/>
          <w:szCs w:val="20"/>
        </w:rPr>
        <w:t xml:space="preserve">iznosu od </w:t>
      </w:r>
      <w:r w:rsidR="00C076DE">
        <w:rPr>
          <w:rFonts w:ascii="Arial" w:hAnsi="Arial" w:cs="Arial"/>
          <w:sz w:val="20"/>
          <w:szCs w:val="20"/>
        </w:rPr>
        <w:t>8.822.343</w:t>
      </w:r>
      <w:r w:rsidR="00A13880" w:rsidRPr="0046640A">
        <w:rPr>
          <w:rFonts w:ascii="Arial" w:hAnsi="Arial" w:cs="Arial"/>
          <w:b/>
          <w:sz w:val="20"/>
          <w:szCs w:val="20"/>
        </w:rPr>
        <w:t xml:space="preserve"> </w:t>
      </w:r>
      <w:r w:rsidR="00A13880" w:rsidRPr="0046640A">
        <w:rPr>
          <w:rFonts w:ascii="Arial" w:hAnsi="Arial" w:cs="Arial"/>
          <w:sz w:val="20"/>
          <w:szCs w:val="20"/>
        </w:rPr>
        <w:t>kn</w:t>
      </w:r>
      <w:r w:rsidRPr="0046640A">
        <w:rPr>
          <w:rFonts w:ascii="Arial" w:hAnsi="Arial" w:cs="Arial"/>
          <w:sz w:val="20"/>
          <w:szCs w:val="20"/>
        </w:rPr>
        <w:t xml:space="preserve"> i</w:t>
      </w:r>
      <w:r w:rsidRPr="00312C98">
        <w:rPr>
          <w:rFonts w:ascii="Arial" w:hAnsi="Arial" w:cs="Arial"/>
          <w:sz w:val="20"/>
          <w:szCs w:val="20"/>
        </w:rPr>
        <w:t xml:space="preserve"> </w:t>
      </w:r>
      <w:r w:rsidR="00C076DE">
        <w:rPr>
          <w:rFonts w:ascii="Arial" w:hAnsi="Arial" w:cs="Arial"/>
          <w:sz w:val="20"/>
          <w:szCs w:val="20"/>
        </w:rPr>
        <w:t>veće</w:t>
      </w:r>
      <w:r w:rsidR="00D371F1" w:rsidRPr="00312C98">
        <w:rPr>
          <w:rFonts w:ascii="Arial" w:hAnsi="Arial" w:cs="Arial"/>
          <w:sz w:val="20"/>
          <w:szCs w:val="20"/>
        </w:rPr>
        <w:t xml:space="preserve"> </w:t>
      </w:r>
      <w:r w:rsidRPr="00312C98">
        <w:rPr>
          <w:rFonts w:ascii="Arial" w:hAnsi="Arial" w:cs="Arial"/>
          <w:sz w:val="20"/>
          <w:szCs w:val="20"/>
        </w:rPr>
        <w:t xml:space="preserve">su od prethodne godine za </w:t>
      </w:r>
      <w:r w:rsidR="00D371F1" w:rsidRPr="00312C98">
        <w:rPr>
          <w:rFonts w:ascii="Arial" w:hAnsi="Arial" w:cs="Arial"/>
          <w:sz w:val="20"/>
          <w:szCs w:val="20"/>
        </w:rPr>
        <w:t xml:space="preserve">iznos </w:t>
      </w:r>
      <w:r w:rsidR="00C076DE">
        <w:rPr>
          <w:rFonts w:ascii="Arial" w:hAnsi="Arial" w:cs="Arial"/>
          <w:sz w:val="20"/>
          <w:szCs w:val="20"/>
        </w:rPr>
        <w:t>4.210.216</w:t>
      </w:r>
      <w:r w:rsidR="00D371F1" w:rsidRPr="00312C98">
        <w:rPr>
          <w:rFonts w:ascii="Arial" w:hAnsi="Arial" w:cs="Arial"/>
          <w:sz w:val="20"/>
          <w:szCs w:val="20"/>
        </w:rPr>
        <w:t xml:space="preserve"> kn</w:t>
      </w:r>
      <w:r w:rsidRPr="00312C98">
        <w:rPr>
          <w:rFonts w:ascii="Arial" w:hAnsi="Arial" w:cs="Arial"/>
          <w:sz w:val="20"/>
          <w:szCs w:val="20"/>
        </w:rPr>
        <w:t xml:space="preserve"> ili </w:t>
      </w:r>
      <w:r w:rsidR="00C076DE">
        <w:rPr>
          <w:rFonts w:ascii="Arial" w:hAnsi="Arial" w:cs="Arial"/>
          <w:sz w:val="20"/>
          <w:szCs w:val="20"/>
        </w:rPr>
        <w:t>91</w:t>
      </w:r>
      <w:r w:rsidR="00AC5240" w:rsidRPr="00312C98">
        <w:rPr>
          <w:rFonts w:ascii="Arial" w:hAnsi="Arial" w:cs="Arial"/>
          <w:sz w:val="20"/>
          <w:szCs w:val="20"/>
        </w:rPr>
        <w:t>% i</w:t>
      </w:r>
      <w:r w:rsidRPr="00312C98">
        <w:rPr>
          <w:rFonts w:ascii="Arial" w:hAnsi="Arial" w:cs="Arial"/>
          <w:sz w:val="20"/>
          <w:szCs w:val="20"/>
        </w:rPr>
        <w:t xml:space="preserve"> </w:t>
      </w:r>
      <w:r w:rsidR="0046640A">
        <w:rPr>
          <w:rFonts w:ascii="Arial" w:hAnsi="Arial" w:cs="Arial"/>
          <w:sz w:val="20"/>
          <w:szCs w:val="20"/>
        </w:rPr>
        <w:t>1</w:t>
      </w:r>
      <w:r w:rsidR="00C076DE">
        <w:rPr>
          <w:rFonts w:ascii="Arial" w:hAnsi="Arial" w:cs="Arial"/>
          <w:sz w:val="20"/>
          <w:szCs w:val="20"/>
        </w:rPr>
        <w:t>0</w:t>
      </w:r>
      <w:r w:rsidRPr="00312C98">
        <w:rPr>
          <w:rFonts w:ascii="Arial" w:hAnsi="Arial" w:cs="Arial"/>
          <w:sz w:val="20"/>
          <w:szCs w:val="20"/>
        </w:rPr>
        <w:t xml:space="preserve">% </w:t>
      </w:r>
      <w:r w:rsidR="00C076DE">
        <w:rPr>
          <w:rFonts w:ascii="Arial" w:hAnsi="Arial" w:cs="Arial"/>
          <w:sz w:val="20"/>
          <w:szCs w:val="20"/>
        </w:rPr>
        <w:t>veće</w:t>
      </w:r>
      <w:r w:rsidRPr="00312C98">
        <w:rPr>
          <w:rFonts w:ascii="Arial" w:hAnsi="Arial" w:cs="Arial"/>
          <w:sz w:val="20"/>
          <w:szCs w:val="20"/>
        </w:rPr>
        <w:t xml:space="preserve"> u odnosu na plan</w:t>
      </w:r>
      <w:r w:rsidR="00AC5240" w:rsidRPr="00312C98">
        <w:rPr>
          <w:rFonts w:ascii="Arial" w:hAnsi="Arial" w:cs="Arial"/>
          <w:sz w:val="20"/>
          <w:szCs w:val="20"/>
        </w:rPr>
        <w:t>irane</w:t>
      </w:r>
      <w:r w:rsidR="0065192D">
        <w:rPr>
          <w:rFonts w:ascii="Arial" w:hAnsi="Arial" w:cs="Arial"/>
          <w:sz w:val="20"/>
          <w:szCs w:val="20"/>
        </w:rPr>
        <w:t>,</w:t>
      </w:r>
      <w:r w:rsidRPr="00312C98">
        <w:rPr>
          <w:rFonts w:ascii="Arial" w:hAnsi="Arial" w:cs="Arial"/>
          <w:sz w:val="20"/>
          <w:szCs w:val="20"/>
        </w:rPr>
        <w:t xml:space="preserve"> a odnose se na:</w:t>
      </w:r>
    </w:p>
    <w:p w14:paraId="03EFB329" w14:textId="1824224A" w:rsidR="00475E81" w:rsidRPr="00475E81" w:rsidRDefault="00475E81" w:rsidP="00475E8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40A">
        <w:rPr>
          <w:rFonts w:ascii="Arial" w:hAnsi="Arial" w:cs="Arial"/>
          <w:sz w:val="20"/>
          <w:szCs w:val="20"/>
        </w:rPr>
        <w:t>kapitalne pomoći iz</w:t>
      </w:r>
      <w:r w:rsidRPr="00312C98">
        <w:rPr>
          <w:rFonts w:ascii="Arial" w:hAnsi="Arial" w:cs="Arial"/>
          <w:sz w:val="20"/>
          <w:szCs w:val="20"/>
        </w:rPr>
        <w:t xml:space="preserve"> državnog proračuna temeljem prijenosa EU sredstava u iznosu od </w:t>
      </w:r>
      <w:r w:rsidR="00D20E65">
        <w:rPr>
          <w:rFonts w:ascii="Arial" w:hAnsi="Arial" w:cs="Arial"/>
          <w:sz w:val="20"/>
          <w:szCs w:val="20"/>
        </w:rPr>
        <w:t>2.348.813</w:t>
      </w:r>
      <w:r w:rsidRPr="00312C98">
        <w:rPr>
          <w:rFonts w:ascii="Arial" w:hAnsi="Arial" w:cs="Arial"/>
          <w:sz w:val="20"/>
          <w:szCs w:val="20"/>
        </w:rPr>
        <w:t xml:space="preserve"> kn za radove </w:t>
      </w:r>
      <w:r>
        <w:rPr>
          <w:rFonts w:ascii="Arial" w:hAnsi="Arial" w:cs="Arial"/>
          <w:sz w:val="20"/>
          <w:szCs w:val="20"/>
        </w:rPr>
        <w:t xml:space="preserve">na </w:t>
      </w:r>
      <w:r w:rsidRPr="00312C98">
        <w:rPr>
          <w:rFonts w:ascii="Arial" w:hAnsi="Arial" w:cs="Arial"/>
          <w:sz w:val="20"/>
          <w:szCs w:val="20"/>
        </w:rPr>
        <w:t>obnov</w:t>
      </w:r>
      <w:r>
        <w:rPr>
          <w:rFonts w:ascii="Arial" w:hAnsi="Arial" w:cs="Arial"/>
          <w:sz w:val="20"/>
          <w:szCs w:val="20"/>
        </w:rPr>
        <w:t>i</w:t>
      </w:r>
      <w:r w:rsidRPr="00312C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kuće Marka Pola i Revitalizacije obrambenih utvrda Grada, prema </w:t>
      </w:r>
      <w:r w:rsidR="000065E7">
        <w:rPr>
          <w:rFonts w:ascii="Arial" w:hAnsi="Arial" w:cs="Arial"/>
          <w:sz w:val="20"/>
          <w:szCs w:val="20"/>
        </w:rPr>
        <w:t xml:space="preserve">odobrenim </w:t>
      </w:r>
      <w:r>
        <w:rPr>
          <w:rFonts w:ascii="Arial" w:hAnsi="Arial" w:cs="Arial"/>
          <w:sz w:val="20"/>
          <w:szCs w:val="20"/>
        </w:rPr>
        <w:t>zahtjevima za nadoknadom sredstava (ZNS),</w:t>
      </w:r>
      <w:r w:rsidR="00D20E65">
        <w:rPr>
          <w:rFonts w:ascii="Arial" w:hAnsi="Arial" w:cs="Arial"/>
          <w:sz w:val="20"/>
          <w:szCs w:val="20"/>
        </w:rPr>
        <w:t xml:space="preserve"> te za Mobilno reciklažno dvorište.</w:t>
      </w:r>
    </w:p>
    <w:p w14:paraId="66E9FDA1" w14:textId="745BB301" w:rsidR="00CD3DE1" w:rsidRPr="00312C98" w:rsidRDefault="00BC7689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C98">
        <w:rPr>
          <w:rFonts w:ascii="Arial" w:hAnsi="Arial" w:cs="Arial"/>
          <w:sz w:val="20"/>
          <w:szCs w:val="20"/>
        </w:rPr>
        <w:lastRenderedPageBreak/>
        <w:t>kapitalne pomoći</w:t>
      </w:r>
      <w:r w:rsidR="00CD3DE1" w:rsidRPr="00312C98">
        <w:rPr>
          <w:rFonts w:ascii="Arial" w:hAnsi="Arial" w:cs="Arial"/>
          <w:sz w:val="20"/>
          <w:szCs w:val="20"/>
        </w:rPr>
        <w:t xml:space="preserve"> MRRFEU </w:t>
      </w:r>
      <w:r w:rsidR="00D20E65">
        <w:rPr>
          <w:rFonts w:ascii="Arial" w:hAnsi="Arial" w:cs="Arial"/>
          <w:sz w:val="20"/>
          <w:szCs w:val="20"/>
        </w:rPr>
        <w:t>u iznosu od 879.218 kn i to za: uređenje Postranske Pijace 400.000 kn, sufinanciranje provedbe EU projekata 266.151 kn te školu Dominče 213.067 kn.</w:t>
      </w:r>
    </w:p>
    <w:p w14:paraId="48B13652" w14:textId="7ABB2922" w:rsidR="00E43486" w:rsidRDefault="00BC7689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C98">
        <w:rPr>
          <w:rFonts w:ascii="Arial" w:hAnsi="Arial" w:cs="Arial"/>
          <w:sz w:val="20"/>
          <w:szCs w:val="20"/>
        </w:rPr>
        <w:t>kapitalne pomoći</w:t>
      </w:r>
      <w:r w:rsidR="00E43486" w:rsidRPr="00312C98">
        <w:rPr>
          <w:rFonts w:ascii="Arial" w:hAnsi="Arial" w:cs="Arial"/>
          <w:sz w:val="20"/>
          <w:szCs w:val="20"/>
        </w:rPr>
        <w:t xml:space="preserve"> iz </w:t>
      </w:r>
      <w:r w:rsidR="006D0CB9">
        <w:rPr>
          <w:rFonts w:ascii="Arial" w:hAnsi="Arial" w:cs="Arial"/>
          <w:sz w:val="20"/>
          <w:szCs w:val="20"/>
        </w:rPr>
        <w:t xml:space="preserve">Ministarstva kulture </w:t>
      </w:r>
      <w:r w:rsidR="00E43486" w:rsidRPr="00312C98">
        <w:rPr>
          <w:rFonts w:ascii="Arial" w:hAnsi="Arial" w:cs="Arial"/>
          <w:sz w:val="20"/>
          <w:szCs w:val="20"/>
        </w:rPr>
        <w:t xml:space="preserve">u iznosu od </w:t>
      </w:r>
      <w:r w:rsidR="006D0CB9">
        <w:rPr>
          <w:rFonts w:ascii="Arial" w:hAnsi="Arial" w:cs="Arial"/>
          <w:sz w:val="20"/>
          <w:szCs w:val="20"/>
        </w:rPr>
        <w:t>10</w:t>
      </w:r>
      <w:r w:rsidR="00103524" w:rsidRPr="00312C98">
        <w:rPr>
          <w:rFonts w:ascii="Arial" w:hAnsi="Arial" w:cs="Arial"/>
          <w:sz w:val="20"/>
          <w:szCs w:val="20"/>
        </w:rPr>
        <w:t>0.000</w:t>
      </w:r>
      <w:r w:rsidR="002E398B" w:rsidRPr="00312C98">
        <w:rPr>
          <w:rFonts w:ascii="Arial" w:hAnsi="Arial" w:cs="Arial"/>
          <w:sz w:val="20"/>
          <w:szCs w:val="20"/>
        </w:rPr>
        <w:t xml:space="preserve"> kn </w:t>
      </w:r>
      <w:r w:rsidR="00E43486" w:rsidRPr="00312C98">
        <w:rPr>
          <w:rFonts w:ascii="Arial" w:hAnsi="Arial" w:cs="Arial"/>
          <w:sz w:val="20"/>
          <w:szCs w:val="20"/>
        </w:rPr>
        <w:t xml:space="preserve">za </w:t>
      </w:r>
      <w:r w:rsidR="000065E7">
        <w:rPr>
          <w:rFonts w:ascii="Arial" w:hAnsi="Arial" w:cs="Arial"/>
          <w:sz w:val="20"/>
          <w:szCs w:val="20"/>
        </w:rPr>
        <w:t>opremanje novih prostora Gradske knjižnice</w:t>
      </w:r>
      <w:r w:rsidR="002E398B" w:rsidRPr="00312C98">
        <w:rPr>
          <w:rFonts w:ascii="Arial" w:hAnsi="Arial" w:cs="Arial"/>
          <w:sz w:val="20"/>
          <w:szCs w:val="20"/>
        </w:rPr>
        <w:t>,</w:t>
      </w:r>
    </w:p>
    <w:p w14:paraId="1929B035" w14:textId="7451AE6C" w:rsidR="00BC7689" w:rsidRDefault="000065E7" w:rsidP="0038359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kapitalne pomoći Ministarstva kulture </w:t>
      </w:r>
      <w:r w:rsidR="0030494A">
        <w:rPr>
          <w:rFonts w:ascii="Arial" w:hAnsi="Arial" w:cs="Arial"/>
          <w:sz w:val="20"/>
          <w:szCs w:val="20"/>
        </w:rPr>
        <w:t xml:space="preserve">Centru za kulturu, </w:t>
      </w:r>
      <w:r>
        <w:rPr>
          <w:rFonts w:ascii="Arial" w:hAnsi="Arial" w:cs="Arial"/>
          <w:sz w:val="20"/>
          <w:szCs w:val="20"/>
        </w:rPr>
        <w:t>u iznosu od</w:t>
      </w:r>
      <w:r w:rsidR="00383597">
        <w:rPr>
          <w:rFonts w:ascii="Arial" w:hAnsi="Arial" w:cs="Arial"/>
          <w:sz w:val="20"/>
          <w:szCs w:val="20"/>
        </w:rPr>
        <w:t xml:space="preserve"> 230.000</w:t>
      </w:r>
      <w:r>
        <w:rPr>
          <w:rFonts w:ascii="Arial" w:hAnsi="Arial" w:cs="Arial"/>
          <w:sz w:val="20"/>
          <w:szCs w:val="20"/>
        </w:rPr>
        <w:t xml:space="preserve"> kn za </w:t>
      </w:r>
      <w:r w:rsidR="00383597">
        <w:rPr>
          <w:rFonts w:ascii="Arial" w:hAnsi="Arial" w:cs="Arial"/>
          <w:sz w:val="20"/>
          <w:szCs w:val="20"/>
        </w:rPr>
        <w:t>uređenje</w:t>
      </w:r>
      <w:r w:rsidR="0030494A">
        <w:rPr>
          <w:rFonts w:ascii="Arial" w:hAnsi="Arial" w:cs="Arial"/>
          <w:sz w:val="20"/>
          <w:szCs w:val="20"/>
        </w:rPr>
        <w:t xml:space="preserve"> Doma kulture Liburna,</w:t>
      </w:r>
    </w:p>
    <w:p w14:paraId="7C9D527A" w14:textId="77916152" w:rsidR="00383597" w:rsidRDefault="00383597" w:rsidP="0038359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kapitalne</w:t>
      </w:r>
      <w:r w:rsidR="00AE14D0">
        <w:rPr>
          <w:rFonts w:ascii="Arial" w:hAnsi="Arial" w:cs="Arial"/>
          <w:sz w:val="20"/>
          <w:szCs w:val="20"/>
        </w:rPr>
        <w:t xml:space="preserve"> pomoći Ministarstva mora, prometa i infrastrukture u iznosu od 400.000 kn za sanaciju rive na Vrniku,</w:t>
      </w:r>
    </w:p>
    <w:p w14:paraId="1F4F886B" w14:textId="6B6BA500" w:rsidR="00AE14D0" w:rsidRDefault="00AE14D0" w:rsidP="0038359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kapitalne pomoći Fonda za zaštitu okoliša 271.759 kn za sjeckalicu Iverač 242.025 kn i mobilnu reciklažnu jedinicu 29.734 kn,</w:t>
      </w:r>
    </w:p>
    <w:p w14:paraId="1BA5E404" w14:textId="5E976BE8" w:rsidR="00AE14D0" w:rsidRDefault="00AE14D0" w:rsidP="0038359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kapitalne pomoći od Županijske uprave za ceste 281.170 kn za uređenje nogostupa na Naselju,</w:t>
      </w:r>
    </w:p>
    <w:p w14:paraId="72139266" w14:textId="6BCE0F94" w:rsidR="00AE14D0" w:rsidRDefault="00AE14D0" w:rsidP="0038359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kapitalne pomoći iz Ministarstva turizma </w:t>
      </w:r>
      <w:r w:rsidR="00F215E4">
        <w:rPr>
          <w:rFonts w:ascii="Arial" w:hAnsi="Arial" w:cs="Arial"/>
          <w:sz w:val="20"/>
          <w:szCs w:val="20"/>
        </w:rPr>
        <w:t>191.250 kn za plivački semafor na Bazenu,</w:t>
      </w:r>
    </w:p>
    <w:p w14:paraId="5B388C96" w14:textId="141A6C24" w:rsidR="00F215E4" w:rsidRDefault="00F215E4" w:rsidP="0038359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kapitalne pomoći od institucija </w:t>
      </w:r>
      <w:r w:rsidR="00242A3A">
        <w:rPr>
          <w:rFonts w:ascii="Arial" w:hAnsi="Arial" w:cs="Arial"/>
          <w:sz w:val="20"/>
          <w:szCs w:val="20"/>
        </w:rPr>
        <w:t xml:space="preserve">i tijela </w:t>
      </w:r>
      <w:r>
        <w:rPr>
          <w:rFonts w:ascii="Arial" w:hAnsi="Arial" w:cs="Arial"/>
          <w:sz w:val="20"/>
          <w:szCs w:val="20"/>
        </w:rPr>
        <w:t xml:space="preserve">EU za </w:t>
      </w:r>
      <w:r w:rsidRPr="00242A3A">
        <w:rPr>
          <w:rFonts w:ascii="Arial" w:hAnsi="Arial" w:cs="Arial"/>
          <w:sz w:val="20"/>
          <w:szCs w:val="20"/>
        </w:rPr>
        <w:t xml:space="preserve">energetsku obnovu </w:t>
      </w:r>
      <w:r w:rsidR="00242A3A" w:rsidRPr="00242A3A">
        <w:rPr>
          <w:rFonts w:ascii="Arial" w:hAnsi="Arial" w:cs="Arial"/>
          <w:sz w:val="20"/>
          <w:szCs w:val="20"/>
        </w:rPr>
        <w:t xml:space="preserve">javnih i komercijalnih </w:t>
      </w:r>
      <w:r w:rsidRPr="00242A3A">
        <w:rPr>
          <w:rFonts w:ascii="Arial" w:hAnsi="Arial" w:cs="Arial"/>
          <w:sz w:val="20"/>
          <w:szCs w:val="20"/>
        </w:rPr>
        <w:t>zgrada</w:t>
      </w:r>
      <w:r w:rsidR="00242A3A">
        <w:rPr>
          <w:rFonts w:ascii="Arial" w:hAnsi="Arial" w:cs="Arial"/>
          <w:sz w:val="20"/>
          <w:szCs w:val="20"/>
        </w:rPr>
        <w:t xml:space="preserve"> na području otoka</w:t>
      </w:r>
      <w:r>
        <w:rPr>
          <w:rFonts w:ascii="Arial" w:hAnsi="Arial" w:cs="Arial"/>
          <w:sz w:val="20"/>
          <w:szCs w:val="20"/>
        </w:rPr>
        <w:t>, u iznosu 316.222 kn,</w:t>
      </w:r>
    </w:p>
    <w:p w14:paraId="6F59AC41" w14:textId="30EFE40C" w:rsidR="00E43486" w:rsidRPr="0071744F" w:rsidRDefault="00242A3A" w:rsidP="00242A3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C98">
        <w:rPr>
          <w:rFonts w:ascii="Arial" w:hAnsi="Arial" w:cs="Arial"/>
          <w:sz w:val="20"/>
          <w:szCs w:val="20"/>
        </w:rPr>
        <w:t>tekuće pomoći od institucija i tijela EU</w:t>
      </w:r>
      <w:r>
        <w:rPr>
          <w:rFonts w:ascii="Arial" w:hAnsi="Arial" w:cs="Arial"/>
          <w:sz w:val="20"/>
          <w:szCs w:val="20"/>
        </w:rPr>
        <w:t xml:space="preserve"> u iznosu 746 kn za sudjelovanje na konferenciji „Clear energy for EU Islands“</w:t>
      </w:r>
      <w:r w:rsidRPr="00312C98">
        <w:rPr>
          <w:rFonts w:ascii="Arial" w:hAnsi="Arial" w:cs="Arial"/>
          <w:sz w:val="20"/>
          <w:szCs w:val="20"/>
        </w:rPr>
        <w:t>,</w:t>
      </w:r>
    </w:p>
    <w:p w14:paraId="12B41410" w14:textId="07609B71" w:rsidR="00AD4CA7" w:rsidRPr="00312C98" w:rsidRDefault="00AD4CA7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tekuće pomoći iz državnog proračuna u iznosu od </w:t>
      </w:r>
      <w:r w:rsidR="0071744F">
        <w:rPr>
          <w:rFonts w:ascii="Arial" w:hAnsi="Arial" w:cs="Arial"/>
          <w:sz w:val="20"/>
          <w:szCs w:val="20"/>
        </w:rPr>
        <w:t>2.777.743,66</w:t>
      </w:r>
      <w:r>
        <w:rPr>
          <w:rFonts w:ascii="Arial" w:hAnsi="Arial" w:cs="Arial"/>
          <w:sz w:val="20"/>
          <w:szCs w:val="20"/>
        </w:rPr>
        <w:t xml:space="preserve"> kn za kompenzacijske mjere,</w:t>
      </w:r>
    </w:p>
    <w:p w14:paraId="5E3232FF" w14:textId="1FD3929F" w:rsidR="00E43486" w:rsidRDefault="00E43486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C98">
        <w:rPr>
          <w:rFonts w:ascii="Arial" w:hAnsi="Arial" w:cs="Arial"/>
          <w:sz w:val="20"/>
          <w:szCs w:val="20"/>
        </w:rPr>
        <w:t xml:space="preserve">tekuće </w:t>
      </w:r>
      <w:r w:rsidR="000D02B2" w:rsidRPr="00312C98">
        <w:rPr>
          <w:rFonts w:ascii="Arial" w:hAnsi="Arial" w:cs="Arial"/>
          <w:sz w:val="20"/>
          <w:szCs w:val="20"/>
        </w:rPr>
        <w:t>pomoći</w:t>
      </w:r>
      <w:r w:rsidR="008C3E92">
        <w:rPr>
          <w:rFonts w:ascii="Arial" w:hAnsi="Arial" w:cs="Arial"/>
          <w:sz w:val="20"/>
          <w:szCs w:val="20"/>
        </w:rPr>
        <w:t xml:space="preserve"> iz proračuna Dubrovačko-</w:t>
      </w:r>
      <w:r w:rsidRPr="00312C98">
        <w:rPr>
          <w:rFonts w:ascii="Arial" w:hAnsi="Arial" w:cs="Arial"/>
          <w:sz w:val="20"/>
          <w:szCs w:val="20"/>
        </w:rPr>
        <w:t xml:space="preserve">neretvanske županije u iznosu od </w:t>
      </w:r>
      <w:r w:rsidR="00927990">
        <w:rPr>
          <w:rFonts w:ascii="Arial" w:hAnsi="Arial" w:cs="Arial"/>
          <w:sz w:val="20"/>
          <w:szCs w:val="20"/>
        </w:rPr>
        <w:t>386.017,49</w:t>
      </w:r>
      <w:r w:rsidR="000D02B2" w:rsidRPr="00312C98">
        <w:rPr>
          <w:rFonts w:ascii="Arial" w:hAnsi="Arial" w:cs="Arial"/>
          <w:sz w:val="20"/>
          <w:szCs w:val="20"/>
        </w:rPr>
        <w:t xml:space="preserve"> kn</w:t>
      </w:r>
      <w:r w:rsidRPr="00312C98">
        <w:rPr>
          <w:rFonts w:ascii="Arial" w:hAnsi="Arial" w:cs="Arial"/>
          <w:sz w:val="20"/>
          <w:szCs w:val="20"/>
        </w:rPr>
        <w:t xml:space="preserve"> i to: </w:t>
      </w:r>
      <w:r w:rsidR="008C3E92">
        <w:rPr>
          <w:rFonts w:ascii="Arial" w:hAnsi="Arial" w:cs="Arial"/>
          <w:sz w:val="20"/>
          <w:szCs w:val="20"/>
        </w:rPr>
        <w:t xml:space="preserve">za </w:t>
      </w:r>
      <w:r w:rsidR="00AD4CA7">
        <w:rPr>
          <w:rFonts w:ascii="Arial" w:hAnsi="Arial" w:cs="Arial"/>
          <w:sz w:val="20"/>
          <w:szCs w:val="20"/>
        </w:rPr>
        <w:t>uređenje plaže Banje 2</w:t>
      </w:r>
      <w:r w:rsidR="00927990">
        <w:rPr>
          <w:rFonts w:ascii="Arial" w:hAnsi="Arial" w:cs="Arial"/>
          <w:sz w:val="20"/>
          <w:szCs w:val="20"/>
        </w:rPr>
        <w:t>50</w:t>
      </w:r>
      <w:r w:rsidR="00AD4CA7">
        <w:rPr>
          <w:rFonts w:ascii="Arial" w:hAnsi="Arial" w:cs="Arial"/>
          <w:sz w:val="20"/>
          <w:szCs w:val="20"/>
        </w:rPr>
        <w:t>.000</w:t>
      </w:r>
      <w:r w:rsidR="00CB40A5" w:rsidRPr="00312C98">
        <w:rPr>
          <w:rFonts w:ascii="Arial" w:hAnsi="Arial" w:cs="Arial"/>
          <w:sz w:val="20"/>
          <w:szCs w:val="20"/>
        </w:rPr>
        <w:t xml:space="preserve"> </w:t>
      </w:r>
      <w:r w:rsidR="000D02B2" w:rsidRPr="00312C98">
        <w:rPr>
          <w:rFonts w:ascii="Arial" w:hAnsi="Arial" w:cs="Arial"/>
          <w:sz w:val="20"/>
          <w:szCs w:val="20"/>
        </w:rPr>
        <w:t>kn</w:t>
      </w:r>
      <w:r w:rsidRPr="00312C98">
        <w:rPr>
          <w:rFonts w:ascii="Arial" w:hAnsi="Arial" w:cs="Arial"/>
          <w:sz w:val="20"/>
          <w:szCs w:val="20"/>
        </w:rPr>
        <w:t xml:space="preserve">, </w:t>
      </w:r>
      <w:r w:rsidR="00927990">
        <w:rPr>
          <w:rFonts w:ascii="Arial" w:hAnsi="Arial" w:cs="Arial"/>
          <w:sz w:val="20"/>
          <w:szCs w:val="20"/>
        </w:rPr>
        <w:t xml:space="preserve">za biračke odbore Izbora </w:t>
      </w:r>
      <w:r w:rsidR="00A17E58">
        <w:rPr>
          <w:rFonts w:ascii="Arial" w:hAnsi="Arial" w:cs="Arial"/>
          <w:sz w:val="20"/>
          <w:szCs w:val="20"/>
        </w:rPr>
        <w:t xml:space="preserve">73.667,49 kn, za sufinanciranje dječjeg igrališta Zavalatica 35.000 kn, za šumske i poljske puteve 20.000 kn te </w:t>
      </w:r>
      <w:r w:rsidRPr="00312C98">
        <w:rPr>
          <w:rFonts w:ascii="Arial" w:hAnsi="Arial" w:cs="Arial"/>
          <w:sz w:val="20"/>
          <w:szCs w:val="20"/>
        </w:rPr>
        <w:t xml:space="preserve">za ogrjev socijalno ugroženima </w:t>
      </w:r>
      <w:r w:rsidR="00A17E58">
        <w:rPr>
          <w:rFonts w:ascii="Arial" w:hAnsi="Arial" w:cs="Arial"/>
          <w:sz w:val="20"/>
          <w:szCs w:val="20"/>
        </w:rPr>
        <w:t>7.350,00</w:t>
      </w:r>
      <w:r w:rsidR="000D02B2" w:rsidRPr="00312C98">
        <w:rPr>
          <w:rFonts w:ascii="Arial" w:hAnsi="Arial" w:cs="Arial"/>
          <w:sz w:val="20"/>
          <w:szCs w:val="20"/>
        </w:rPr>
        <w:t xml:space="preserve"> kn</w:t>
      </w:r>
      <w:r w:rsidR="00A17E58">
        <w:rPr>
          <w:rFonts w:ascii="Arial" w:hAnsi="Arial" w:cs="Arial"/>
          <w:sz w:val="20"/>
          <w:szCs w:val="20"/>
        </w:rPr>
        <w:t>,</w:t>
      </w:r>
    </w:p>
    <w:p w14:paraId="67BF1010" w14:textId="3681469B" w:rsidR="00A17E58" w:rsidRPr="005F61FD" w:rsidRDefault="00A17E58" w:rsidP="005F61F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tekuće pomoći od Hrvatskog zavoda za zapošljavanje u iznosu od 261.811,62 kn za djelatnike Javnih radova</w:t>
      </w:r>
      <w:r w:rsidR="005F61FD">
        <w:rPr>
          <w:rFonts w:ascii="Arial" w:hAnsi="Arial" w:cs="Arial"/>
          <w:sz w:val="20"/>
          <w:szCs w:val="20"/>
        </w:rPr>
        <w:t xml:space="preserve"> Grada</w:t>
      </w:r>
      <w:r w:rsidR="00752345">
        <w:rPr>
          <w:rFonts w:ascii="Arial" w:hAnsi="Arial" w:cs="Arial"/>
          <w:sz w:val="20"/>
          <w:szCs w:val="20"/>
        </w:rPr>
        <w:t>,</w:t>
      </w:r>
      <w:r w:rsidR="005F61FD">
        <w:rPr>
          <w:rFonts w:ascii="Arial" w:hAnsi="Arial" w:cs="Arial"/>
          <w:sz w:val="20"/>
          <w:szCs w:val="20"/>
        </w:rPr>
        <w:t xml:space="preserve"> te 90.886,20 kn za djelatnike Javnih radova Vrtića,</w:t>
      </w:r>
    </w:p>
    <w:p w14:paraId="64DA9AEB" w14:textId="499885C6" w:rsidR="00E43486" w:rsidRPr="00312C98" w:rsidRDefault="00E43486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C98">
        <w:rPr>
          <w:rFonts w:ascii="Arial" w:hAnsi="Arial" w:cs="Arial"/>
          <w:sz w:val="20"/>
          <w:szCs w:val="20"/>
        </w:rPr>
        <w:t xml:space="preserve">tekuće </w:t>
      </w:r>
      <w:r w:rsidR="00C00845" w:rsidRPr="00312C98">
        <w:rPr>
          <w:rFonts w:ascii="Arial" w:hAnsi="Arial" w:cs="Arial"/>
          <w:sz w:val="20"/>
          <w:szCs w:val="20"/>
        </w:rPr>
        <w:t xml:space="preserve">pomoći Dječjem Vrtiću iz općine Lumbarda od </w:t>
      </w:r>
      <w:r w:rsidR="00A17E58">
        <w:rPr>
          <w:rFonts w:ascii="Arial" w:hAnsi="Arial" w:cs="Arial"/>
          <w:sz w:val="20"/>
          <w:szCs w:val="20"/>
        </w:rPr>
        <w:t>134.658,37</w:t>
      </w:r>
      <w:r w:rsidR="00C00845" w:rsidRPr="00312C98">
        <w:rPr>
          <w:rFonts w:ascii="Arial" w:hAnsi="Arial" w:cs="Arial"/>
          <w:sz w:val="20"/>
          <w:szCs w:val="20"/>
        </w:rPr>
        <w:t xml:space="preserve"> kn za sufinanciranje cijene vrtića djeci,</w:t>
      </w:r>
      <w:r w:rsidRPr="00312C98">
        <w:rPr>
          <w:rFonts w:ascii="Arial" w:hAnsi="Arial" w:cs="Arial"/>
          <w:sz w:val="20"/>
          <w:szCs w:val="20"/>
        </w:rPr>
        <w:t xml:space="preserve"> </w:t>
      </w:r>
    </w:p>
    <w:p w14:paraId="3176223B" w14:textId="3B74415C" w:rsidR="00E43486" w:rsidRPr="005F61FD" w:rsidRDefault="00C00845" w:rsidP="005F61F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C98">
        <w:rPr>
          <w:rFonts w:ascii="Arial" w:hAnsi="Arial" w:cs="Arial"/>
          <w:sz w:val="20"/>
          <w:szCs w:val="20"/>
        </w:rPr>
        <w:t>tekuće</w:t>
      </w:r>
      <w:r w:rsidR="00E43486" w:rsidRPr="00312C98">
        <w:rPr>
          <w:rFonts w:ascii="Arial" w:hAnsi="Arial" w:cs="Arial"/>
          <w:sz w:val="20"/>
          <w:szCs w:val="20"/>
        </w:rPr>
        <w:t xml:space="preserve"> </w:t>
      </w:r>
      <w:r w:rsidRPr="00312C98">
        <w:rPr>
          <w:rFonts w:ascii="Arial" w:hAnsi="Arial" w:cs="Arial"/>
          <w:sz w:val="20"/>
          <w:szCs w:val="20"/>
        </w:rPr>
        <w:t>pomoći Ministarstva kulture u iznosu</w:t>
      </w:r>
      <w:r w:rsidR="005F61FD">
        <w:rPr>
          <w:rFonts w:ascii="Arial" w:hAnsi="Arial" w:cs="Arial"/>
          <w:sz w:val="20"/>
          <w:szCs w:val="20"/>
        </w:rPr>
        <w:t xml:space="preserve"> 1</w:t>
      </w:r>
      <w:r w:rsidR="006B5977">
        <w:rPr>
          <w:rFonts w:ascii="Arial" w:hAnsi="Arial" w:cs="Arial"/>
          <w:sz w:val="20"/>
          <w:szCs w:val="20"/>
        </w:rPr>
        <w:t>34.</w:t>
      </w:r>
      <w:r w:rsidR="00B36292">
        <w:rPr>
          <w:rFonts w:ascii="Arial" w:hAnsi="Arial" w:cs="Arial"/>
          <w:sz w:val="20"/>
          <w:szCs w:val="20"/>
        </w:rPr>
        <w:t>4</w:t>
      </w:r>
      <w:r w:rsidR="006B5977">
        <w:rPr>
          <w:rFonts w:ascii="Arial" w:hAnsi="Arial" w:cs="Arial"/>
          <w:sz w:val="20"/>
          <w:szCs w:val="20"/>
        </w:rPr>
        <w:t>20</w:t>
      </w:r>
      <w:r w:rsidR="005F61FD">
        <w:rPr>
          <w:rFonts w:ascii="Arial" w:hAnsi="Arial" w:cs="Arial"/>
          <w:sz w:val="20"/>
          <w:szCs w:val="20"/>
        </w:rPr>
        <w:t>,00</w:t>
      </w:r>
      <w:r w:rsidRPr="00312C98">
        <w:rPr>
          <w:rFonts w:ascii="Arial" w:hAnsi="Arial" w:cs="Arial"/>
          <w:sz w:val="20"/>
          <w:szCs w:val="20"/>
        </w:rPr>
        <w:t xml:space="preserve"> kn za programe Gradske Knjižnice, Gradskog Muzeja</w:t>
      </w:r>
      <w:r w:rsidR="005F61FD">
        <w:rPr>
          <w:rFonts w:ascii="Arial" w:hAnsi="Arial" w:cs="Arial"/>
          <w:sz w:val="20"/>
          <w:szCs w:val="20"/>
        </w:rPr>
        <w:t xml:space="preserve"> i </w:t>
      </w:r>
      <w:r w:rsidRPr="00312C98">
        <w:rPr>
          <w:rFonts w:ascii="Arial" w:hAnsi="Arial" w:cs="Arial"/>
          <w:sz w:val="20"/>
          <w:szCs w:val="20"/>
        </w:rPr>
        <w:t xml:space="preserve">Centra </w:t>
      </w:r>
      <w:r w:rsidR="005F61FD">
        <w:rPr>
          <w:rFonts w:ascii="Arial" w:hAnsi="Arial" w:cs="Arial"/>
          <w:sz w:val="20"/>
          <w:szCs w:val="20"/>
        </w:rPr>
        <w:t>kulturu</w:t>
      </w:r>
      <w:r w:rsidR="006B5977">
        <w:rPr>
          <w:rFonts w:ascii="Arial" w:hAnsi="Arial" w:cs="Arial"/>
          <w:sz w:val="20"/>
          <w:szCs w:val="20"/>
        </w:rPr>
        <w:t>, te</w:t>
      </w:r>
    </w:p>
    <w:p w14:paraId="28B95626" w14:textId="74453A34" w:rsidR="00AC2C42" w:rsidRPr="00312C98" w:rsidRDefault="00AC2C42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tekuće pomoć</w:t>
      </w:r>
      <w:r w:rsidR="006B5977">
        <w:rPr>
          <w:rFonts w:ascii="Arial" w:hAnsi="Arial" w:cs="Arial"/>
          <w:sz w:val="20"/>
          <w:szCs w:val="20"/>
        </w:rPr>
        <w:t>i iz proračuna Dubrovačko-</w:t>
      </w:r>
      <w:r w:rsidR="006B5977" w:rsidRPr="00312C98">
        <w:rPr>
          <w:rFonts w:ascii="Arial" w:hAnsi="Arial" w:cs="Arial"/>
          <w:sz w:val="20"/>
          <w:szCs w:val="20"/>
        </w:rPr>
        <w:t>neretvanske županije</w:t>
      </w:r>
      <w:r w:rsidR="006B5977">
        <w:rPr>
          <w:rFonts w:ascii="Arial" w:hAnsi="Arial" w:cs="Arial"/>
          <w:sz w:val="20"/>
          <w:szCs w:val="20"/>
        </w:rPr>
        <w:t xml:space="preserve"> 17.627,50 kn za programe Vrtića, Muzeja i Knjižnice.</w:t>
      </w:r>
      <w:r>
        <w:rPr>
          <w:rFonts w:ascii="Arial" w:hAnsi="Arial" w:cs="Arial"/>
          <w:sz w:val="20"/>
          <w:szCs w:val="20"/>
        </w:rPr>
        <w:t>.</w:t>
      </w:r>
    </w:p>
    <w:p w14:paraId="40A7CADD" w14:textId="77777777" w:rsidR="00A61FC1" w:rsidRDefault="00A61FC1" w:rsidP="00A61FC1">
      <w:pPr>
        <w:spacing w:after="0" w:line="240" w:lineRule="auto"/>
        <w:ind w:left="1488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BECEDBA" w14:textId="77777777" w:rsidR="00A61FC1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C0CC944" w14:textId="54222E90" w:rsidR="00634BFD" w:rsidRPr="00906B08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            </w:t>
      </w:r>
      <w:r w:rsidR="00E75D3E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906B08">
        <w:rPr>
          <w:rFonts w:ascii="Arial" w:hAnsi="Arial" w:cs="Arial"/>
          <w:b/>
          <w:bCs/>
          <w:sz w:val="20"/>
          <w:szCs w:val="20"/>
          <w:lang w:eastAsia="hr-HR"/>
        </w:rPr>
        <w:t>Prihodi od imovine (skupina 64)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ove godine iznose </w:t>
      </w:r>
      <w:r w:rsidR="00DA5669" w:rsidRPr="00906B08">
        <w:rPr>
          <w:rFonts w:ascii="Arial" w:hAnsi="Arial" w:cs="Arial"/>
          <w:b/>
          <w:bCs/>
          <w:sz w:val="20"/>
          <w:szCs w:val="20"/>
          <w:lang w:eastAsia="hr-HR"/>
        </w:rPr>
        <w:t>4</w:t>
      </w:r>
      <w:r w:rsidR="005078F0" w:rsidRPr="00906B08">
        <w:rPr>
          <w:rFonts w:ascii="Arial" w:hAnsi="Arial" w:cs="Arial"/>
          <w:b/>
          <w:bCs/>
          <w:sz w:val="20"/>
          <w:szCs w:val="20"/>
          <w:lang w:eastAsia="hr-HR"/>
        </w:rPr>
        <w:t>.</w:t>
      </w:r>
      <w:r w:rsidR="00DA5669" w:rsidRPr="00906B08">
        <w:rPr>
          <w:rFonts w:ascii="Arial" w:hAnsi="Arial" w:cs="Arial"/>
          <w:b/>
          <w:bCs/>
          <w:sz w:val="20"/>
          <w:szCs w:val="20"/>
          <w:lang w:eastAsia="hr-HR"/>
        </w:rPr>
        <w:t>764.406</w:t>
      </w:r>
      <w:r w:rsidR="001D2334" w:rsidRPr="00906B0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1D2334" w:rsidRPr="00906B08">
        <w:rPr>
          <w:rFonts w:ascii="Arial" w:hAnsi="Arial" w:cs="Arial"/>
          <w:sz w:val="20"/>
          <w:szCs w:val="20"/>
          <w:lang w:eastAsia="hr-HR"/>
        </w:rPr>
        <w:t>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DA5669" w:rsidRPr="00906B08">
        <w:rPr>
          <w:rFonts w:ascii="Arial" w:hAnsi="Arial" w:cs="Arial"/>
          <w:sz w:val="20"/>
          <w:szCs w:val="20"/>
          <w:lang w:eastAsia="hr-HR"/>
        </w:rPr>
        <w:t>veći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su u odnosu na iste </w:t>
      </w:r>
      <w:r w:rsidR="001F5E6F" w:rsidRPr="00906B08">
        <w:rPr>
          <w:rFonts w:ascii="Arial" w:hAnsi="Arial" w:cs="Arial"/>
          <w:sz w:val="20"/>
          <w:szCs w:val="20"/>
          <w:lang w:eastAsia="hr-HR"/>
        </w:rPr>
        <w:t xml:space="preserve">prihode iz prethodne godine za </w:t>
      </w:r>
      <w:r w:rsidR="005078F0" w:rsidRPr="00906B08">
        <w:rPr>
          <w:rFonts w:ascii="Arial" w:hAnsi="Arial" w:cs="Arial"/>
          <w:sz w:val="20"/>
          <w:szCs w:val="20"/>
          <w:lang w:eastAsia="hr-HR"/>
        </w:rPr>
        <w:t>5</w:t>
      </w:r>
      <w:r w:rsidR="00DA5669" w:rsidRPr="00906B08">
        <w:rPr>
          <w:rFonts w:ascii="Arial" w:hAnsi="Arial" w:cs="Arial"/>
          <w:sz w:val="20"/>
          <w:szCs w:val="20"/>
          <w:lang w:eastAsia="hr-HR"/>
        </w:rPr>
        <w:t>1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1.606.983</w:t>
      </w:r>
      <w:r w:rsidR="001D2334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. Prihod od koncesija iznosi </w:t>
      </w:r>
      <w:r w:rsidR="007C1E0B" w:rsidRPr="00906B08">
        <w:rPr>
          <w:rFonts w:ascii="Arial" w:hAnsi="Arial" w:cs="Arial"/>
          <w:sz w:val="20"/>
          <w:szCs w:val="20"/>
          <w:lang w:eastAsia="hr-HR"/>
        </w:rPr>
        <w:t>2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84.007</w:t>
      </w:r>
      <w:r w:rsidR="001D2334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35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74.194</w:t>
      </w:r>
      <w:r w:rsidR="001D2334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) u odnosu na 20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20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.godinu.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Povećanje</w:t>
      </w:r>
      <w:r w:rsidR="001F5E6F" w:rsidRPr="00906B08">
        <w:rPr>
          <w:rFonts w:ascii="Arial" w:hAnsi="Arial" w:cs="Arial"/>
          <w:sz w:val="20"/>
          <w:szCs w:val="20"/>
          <w:lang w:eastAsia="hr-HR"/>
        </w:rPr>
        <w:t xml:space="preserve"> proizlazi iz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većih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 xml:space="preserve"> doznaka koncesija na pomorskom dobru koje dobivamo u rasporedu sredstava zajedničkih prihoda</w:t>
      </w:r>
      <w:r w:rsidR="0026281C" w:rsidRPr="00906B08">
        <w:rPr>
          <w:rFonts w:ascii="Arial" w:hAnsi="Arial" w:cs="Arial"/>
          <w:sz w:val="20"/>
          <w:szCs w:val="20"/>
          <w:lang w:eastAsia="hr-HR"/>
        </w:rPr>
        <w:t>,</w:t>
      </w:r>
      <w:r w:rsidR="001F5E6F" w:rsidRPr="00906B08">
        <w:rPr>
          <w:rFonts w:ascii="Arial" w:hAnsi="Arial" w:cs="Arial"/>
          <w:sz w:val="20"/>
          <w:szCs w:val="20"/>
          <w:lang w:eastAsia="hr-HR"/>
        </w:rPr>
        <w:t xml:space="preserve"> u odnosu na prethodnu godinu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>. Prihodi od zakupa i iznajmljivanja imovine</w:t>
      </w:r>
      <w:r w:rsidR="00AA485A" w:rsidRPr="00906B08">
        <w:rPr>
          <w:rFonts w:ascii="Arial" w:hAnsi="Arial" w:cs="Arial"/>
          <w:sz w:val="20"/>
          <w:szCs w:val="20"/>
          <w:lang w:eastAsia="hr-HR"/>
        </w:rPr>
        <w:t xml:space="preserve"> u ovom razdoblju</w:t>
      </w:r>
      <w:r w:rsidR="001F5E6F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3.947.229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 xml:space="preserve"> kn i 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već</w:t>
      </w:r>
      <w:r w:rsidR="00C573A2" w:rsidRPr="00906B08">
        <w:rPr>
          <w:rFonts w:ascii="Arial" w:hAnsi="Arial" w:cs="Arial"/>
          <w:sz w:val="20"/>
          <w:szCs w:val="20"/>
          <w:lang w:eastAsia="hr-HR"/>
        </w:rPr>
        <w:t>i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 xml:space="preserve"> su u </w:t>
      </w:r>
      <w:r w:rsidR="001F5E6F" w:rsidRPr="00906B08">
        <w:rPr>
          <w:rFonts w:ascii="Arial" w:hAnsi="Arial" w:cs="Arial"/>
          <w:sz w:val="20"/>
          <w:szCs w:val="20"/>
          <w:lang w:eastAsia="hr-HR"/>
        </w:rPr>
        <w:t xml:space="preserve">odnosu na prethodnu godinu za </w:t>
      </w:r>
      <w:r w:rsidR="00C573A2" w:rsidRPr="00906B08">
        <w:rPr>
          <w:rFonts w:ascii="Arial" w:hAnsi="Arial" w:cs="Arial"/>
          <w:sz w:val="20"/>
          <w:szCs w:val="20"/>
          <w:lang w:eastAsia="hr-HR"/>
        </w:rPr>
        <w:t>5</w:t>
      </w:r>
      <w:r w:rsidR="004D4B2C" w:rsidRPr="00906B08">
        <w:rPr>
          <w:rFonts w:ascii="Arial" w:hAnsi="Arial" w:cs="Arial"/>
          <w:sz w:val="20"/>
          <w:szCs w:val="20"/>
          <w:lang w:eastAsia="hr-HR"/>
        </w:rPr>
        <w:t>8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>% (</w:t>
      </w:r>
      <w:r w:rsidR="0024519A" w:rsidRPr="00906B08">
        <w:rPr>
          <w:rFonts w:ascii="Arial" w:hAnsi="Arial" w:cs="Arial"/>
          <w:sz w:val="20"/>
          <w:szCs w:val="20"/>
          <w:lang w:eastAsia="hr-HR"/>
        </w:rPr>
        <w:t>1.447.484</w:t>
      </w:r>
      <w:r w:rsidR="008D6590" w:rsidRPr="00906B08">
        <w:rPr>
          <w:rFonts w:ascii="Arial" w:hAnsi="Arial" w:cs="Arial"/>
          <w:sz w:val="20"/>
          <w:szCs w:val="20"/>
          <w:lang w:eastAsia="hr-HR"/>
        </w:rPr>
        <w:t xml:space="preserve"> kn).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4519A" w:rsidRPr="00906B08">
        <w:rPr>
          <w:rFonts w:ascii="Arial" w:hAnsi="Arial" w:cs="Arial"/>
          <w:sz w:val="20"/>
          <w:szCs w:val="20"/>
          <w:lang w:eastAsia="hr-HR"/>
        </w:rPr>
        <w:t>Povećanje</w:t>
      </w:r>
      <w:r w:rsidR="00C573A2" w:rsidRPr="00906B08">
        <w:rPr>
          <w:rFonts w:ascii="Arial" w:hAnsi="Arial" w:cs="Arial"/>
          <w:sz w:val="20"/>
          <w:szCs w:val="20"/>
          <w:lang w:eastAsia="hr-HR"/>
        </w:rPr>
        <w:t xml:space="preserve"> je posljedica </w:t>
      </w:r>
      <w:r w:rsidR="0024519A" w:rsidRPr="00906B08">
        <w:rPr>
          <w:rFonts w:ascii="Arial" w:hAnsi="Arial" w:cs="Arial"/>
          <w:sz w:val="20"/>
          <w:szCs w:val="20"/>
        </w:rPr>
        <w:t>ukidanja smanjenja cijena zakupa i najma imovine, osobito javnih površina, koja su smanjenja bila uvedena u prethodnoj godini, zbog krize uzrokovane epidemijom koronavirusa</w:t>
      </w:r>
      <w:r w:rsidR="00200E8B" w:rsidRPr="00906B08">
        <w:rPr>
          <w:rFonts w:ascii="Arial" w:hAnsi="Arial" w:cs="Arial"/>
          <w:sz w:val="20"/>
          <w:szCs w:val="20"/>
        </w:rPr>
        <w:t xml:space="preserve"> i utjecaja</w:t>
      </w:r>
      <w:r w:rsidR="0024519A" w:rsidRPr="00906B08">
        <w:rPr>
          <w:rFonts w:ascii="Arial" w:hAnsi="Arial" w:cs="Arial"/>
          <w:sz w:val="20"/>
          <w:szCs w:val="20"/>
        </w:rPr>
        <w:t xml:space="preserve"> na turističku sezonu</w:t>
      </w:r>
      <w:r w:rsidR="00200E8B" w:rsidRPr="00906B08">
        <w:rPr>
          <w:rFonts w:ascii="Arial" w:hAnsi="Arial" w:cs="Arial"/>
          <w:sz w:val="20"/>
          <w:szCs w:val="20"/>
        </w:rPr>
        <w:t xml:space="preserve">. 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Prihodi od naknada za korištenje nefinancijske imovi</w:t>
      </w:r>
      <w:r w:rsidR="00AA485A" w:rsidRPr="00906B08">
        <w:rPr>
          <w:rFonts w:ascii="Arial" w:hAnsi="Arial" w:cs="Arial"/>
          <w:sz w:val="20"/>
          <w:szCs w:val="20"/>
          <w:lang w:eastAsia="hr-HR"/>
        </w:rPr>
        <w:t xml:space="preserve">ne (prihodi od spomeničke rente i 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od parkirnih mjesta) iznose </w:t>
      </w:r>
      <w:r w:rsidR="00E618E5" w:rsidRPr="00906B08">
        <w:rPr>
          <w:rFonts w:ascii="Arial" w:hAnsi="Arial" w:cs="Arial"/>
          <w:sz w:val="20"/>
          <w:szCs w:val="20"/>
          <w:lang w:eastAsia="hr-HR"/>
        </w:rPr>
        <w:t>401.183</w:t>
      </w:r>
      <w:r w:rsidR="00AA485A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E618E5" w:rsidRPr="00906B08">
        <w:rPr>
          <w:rFonts w:ascii="Arial" w:hAnsi="Arial" w:cs="Arial"/>
          <w:sz w:val="20"/>
          <w:szCs w:val="20"/>
          <w:lang w:eastAsia="hr-HR"/>
        </w:rPr>
        <w:t>već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i su od prethodne godine za </w:t>
      </w:r>
      <w:r w:rsidR="00E618E5" w:rsidRPr="00906B08">
        <w:rPr>
          <w:rFonts w:ascii="Arial" w:hAnsi="Arial" w:cs="Arial"/>
          <w:sz w:val="20"/>
          <w:szCs w:val="20"/>
          <w:lang w:eastAsia="hr-HR"/>
        </w:rPr>
        <w:t>43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C573A2" w:rsidRPr="00906B08">
        <w:rPr>
          <w:rFonts w:ascii="Arial" w:hAnsi="Arial" w:cs="Arial"/>
          <w:sz w:val="20"/>
          <w:szCs w:val="20"/>
          <w:lang w:eastAsia="hr-HR"/>
        </w:rPr>
        <w:t>1</w:t>
      </w:r>
      <w:r w:rsidR="00E618E5" w:rsidRPr="00906B08">
        <w:rPr>
          <w:rFonts w:ascii="Arial" w:hAnsi="Arial" w:cs="Arial"/>
          <w:sz w:val="20"/>
          <w:szCs w:val="20"/>
          <w:lang w:eastAsia="hr-HR"/>
        </w:rPr>
        <w:t>21.302</w:t>
      </w:r>
      <w:r w:rsidR="00AA485A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)</w:t>
      </w:r>
      <w:r w:rsidR="00AA485A" w:rsidRPr="00906B08">
        <w:rPr>
          <w:rFonts w:ascii="Arial" w:hAnsi="Arial" w:cs="Arial"/>
          <w:sz w:val="20"/>
          <w:szCs w:val="20"/>
          <w:lang w:eastAsia="hr-HR"/>
        </w:rPr>
        <w:t>. Ostali prihodi od nefinancijske imovine (naknada za nezakonito izgrađene zgrade i prihodi od Kula)</w:t>
      </w:r>
      <w:r w:rsidR="00D72D7D" w:rsidRPr="00906B08">
        <w:rPr>
          <w:rFonts w:ascii="Arial" w:hAnsi="Arial" w:cs="Arial"/>
          <w:sz w:val="20"/>
          <w:szCs w:val="20"/>
          <w:lang w:eastAsia="hr-HR"/>
        </w:rPr>
        <w:t xml:space="preserve"> iznose </w:t>
      </w:r>
      <w:r w:rsidR="00B37EBB" w:rsidRPr="00906B08">
        <w:rPr>
          <w:rFonts w:ascii="Arial" w:hAnsi="Arial" w:cs="Arial"/>
          <w:sz w:val="20"/>
          <w:szCs w:val="20"/>
          <w:lang w:eastAsia="hr-HR"/>
        </w:rPr>
        <w:t>1</w:t>
      </w:r>
      <w:r w:rsidR="00E618E5" w:rsidRPr="00906B08">
        <w:rPr>
          <w:rFonts w:ascii="Arial" w:hAnsi="Arial" w:cs="Arial"/>
          <w:sz w:val="20"/>
          <w:szCs w:val="20"/>
          <w:lang w:eastAsia="hr-HR"/>
        </w:rPr>
        <w:t>31.477</w:t>
      </w:r>
      <w:r w:rsidR="00D72D7D" w:rsidRPr="00906B08">
        <w:rPr>
          <w:rFonts w:ascii="Arial" w:hAnsi="Arial" w:cs="Arial"/>
          <w:sz w:val="20"/>
          <w:szCs w:val="20"/>
          <w:lang w:eastAsia="hr-HR"/>
        </w:rPr>
        <w:t xml:space="preserve"> kn i </w:t>
      </w:r>
      <w:r w:rsidR="00B37EBB" w:rsidRPr="00906B08">
        <w:rPr>
          <w:rFonts w:ascii="Arial" w:hAnsi="Arial" w:cs="Arial"/>
          <w:sz w:val="20"/>
          <w:szCs w:val="20"/>
          <w:lang w:eastAsia="hr-HR"/>
        </w:rPr>
        <w:t>manji</w:t>
      </w:r>
      <w:r w:rsidR="00D72D7D" w:rsidRPr="00906B08">
        <w:rPr>
          <w:rFonts w:ascii="Arial" w:hAnsi="Arial" w:cs="Arial"/>
          <w:sz w:val="20"/>
          <w:szCs w:val="20"/>
          <w:lang w:eastAsia="hr-HR"/>
        </w:rPr>
        <w:t xml:space="preserve"> su nego u prošlom razdoblju za iznos od </w:t>
      </w:r>
      <w:r w:rsidR="0026281C" w:rsidRPr="00906B08">
        <w:rPr>
          <w:rFonts w:ascii="Arial" w:hAnsi="Arial" w:cs="Arial"/>
          <w:sz w:val="20"/>
          <w:szCs w:val="20"/>
          <w:lang w:eastAsia="hr-HR"/>
        </w:rPr>
        <w:t>17.909</w:t>
      </w:r>
      <w:r w:rsidR="00634BFD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72D7D" w:rsidRPr="00906B08">
        <w:rPr>
          <w:rFonts w:ascii="Arial" w:hAnsi="Arial" w:cs="Arial"/>
          <w:sz w:val="20"/>
          <w:szCs w:val="20"/>
          <w:lang w:eastAsia="hr-HR"/>
        </w:rPr>
        <w:t>kn</w:t>
      </w:r>
      <w:r w:rsidR="00634BFD" w:rsidRPr="00906B08">
        <w:rPr>
          <w:rFonts w:ascii="Arial" w:hAnsi="Arial" w:cs="Arial"/>
          <w:sz w:val="20"/>
          <w:szCs w:val="20"/>
          <w:lang w:eastAsia="hr-HR"/>
        </w:rPr>
        <w:t xml:space="preserve"> odnosno </w:t>
      </w:r>
      <w:r w:rsidR="0026281C" w:rsidRPr="00906B08">
        <w:rPr>
          <w:rFonts w:ascii="Arial" w:hAnsi="Arial" w:cs="Arial"/>
          <w:sz w:val="20"/>
          <w:szCs w:val="20"/>
          <w:lang w:eastAsia="hr-HR"/>
        </w:rPr>
        <w:t>12</w:t>
      </w:r>
      <w:r w:rsidR="00634BFD" w:rsidRPr="00906B08">
        <w:rPr>
          <w:rFonts w:ascii="Arial" w:hAnsi="Arial" w:cs="Arial"/>
          <w:sz w:val="20"/>
          <w:szCs w:val="20"/>
          <w:lang w:eastAsia="hr-HR"/>
        </w:rPr>
        <w:t>%</w:t>
      </w:r>
      <w:r w:rsidR="00D72D7D" w:rsidRPr="00906B08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21920F78" w14:textId="5DD0067B" w:rsidR="00E43486" w:rsidRPr="00906B08" w:rsidRDefault="00E43486" w:rsidP="00634BF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06B08">
        <w:rPr>
          <w:rFonts w:ascii="Arial" w:hAnsi="Arial" w:cs="Arial"/>
          <w:sz w:val="20"/>
          <w:szCs w:val="20"/>
          <w:lang w:eastAsia="hr-HR"/>
        </w:rPr>
        <w:t>U odnosu na plan</w:t>
      </w:r>
      <w:r w:rsidR="00D72D7D" w:rsidRPr="00906B08">
        <w:rPr>
          <w:rFonts w:ascii="Arial" w:hAnsi="Arial" w:cs="Arial"/>
          <w:sz w:val="20"/>
          <w:szCs w:val="20"/>
          <w:lang w:eastAsia="hr-HR"/>
        </w:rPr>
        <w:t>,</w:t>
      </w:r>
      <w:r w:rsidRPr="00906B08">
        <w:rPr>
          <w:rFonts w:ascii="Arial" w:hAnsi="Arial" w:cs="Arial"/>
          <w:sz w:val="20"/>
          <w:szCs w:val="20"/>
          <w:lang w:eastAsia="hr-HR"/>
        </w:rPr>
        <w:t xml:space="preserve"> prihodi od </w:t>
      </w:r>
      <w:r w:rsidR="0026281C" w:rsidRPr="00906B08">
        <w:rPr>
          <w:rFonts w:ascii="Arial" w:hAnsi="Arial" w:cs="Arial"/>
          <w:sz w:val="20"/>
          <w:szCs w:val="20"/>
          <w:lang w:eastAsia="hr-HR"/>
        </w:rPr>
        <w:t>manj</w:t>
      </w:r>
      <w:r w:rsidR="00B37EBB" w:rsidRPr="00906B08">
        <w:rPr>
          <w:rFonts w:ascii="Arial" w:hAnsi="Arial" w:cs="Arial"/>
          <w:sz w:val="20"/>
          <w:szCs w:val="20"/>
          <w:lang w:eastAsia="hr-HR"/>
        </w:rPr>
        <w:t>i</w:t>
      </w:r>
      <w:r w:rsidRPr="00906B08">
        <w:rPr>
          <w:rFonts w:ascii="Arial" w:hAnsi="Arial" w:cs="Arial"/>
          <w:sz w:val="20"/>
          <w:szCs w:val="20"/>
          <w:lang w:eastAsia="hr-HR"/>
        </w:rPr>
        <w:t xml:space="preserve"> su za </w:t>
      </w:r>
      <w:r w:rsidR="00B37EBB" w:rsidRPr="00906B08">
        <w:rPr>
          <w:rFonts w:ascii="Arial" w:hAnsi="Arial" w:cs="Arial"/>
          <w:sz w:val="20"/>
          <w:szCs w:val="20"/>
          <w:lang w:eastAsia="hr-HR"/>
        </w:rPr>
        <w:t>1</w:t>
      </w:r>
      <w:r w:rsidRPr="00906B08">
        <w:rPr>
          <w:rFonts w:ascii="Arial" w:hAnsi="Arial" w:cs="Arial"/>
          <w:sz w:val="20"/>
          <w:szCs w:val="20"/>
          <w:lang w:eastAsia="hr-HR"/>
        </w:rPr>
        <w:t>%.</w:t>
      </w:r>
    </w:p>
    <w:p w14:paraId="7B68394B" w14:textId="77777777" w:rsidR="00E43486" w:rsidRPr="00906B08" w:rsidRDefault="00E43486" w:rsidP="00E43486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hr-HR"/>
        </w:rPr>
      </w:pPr>
    </w:p>
    <w:p w14:paraId="686AF61E" w14:textId="67CAA4DE" w:rsidR="009677F4" w:rsidRPr="00312C98" w:rsidRDefault="00E43486" w:rsidP="002314C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hr-HR"/>
        </w:rPr>
      </w:pPr>
      <w:r w:rsidRPr="00906B08">
        <w:rPr>
          <w:rFonts w:ascii="Arial" w:hAnsi="Arial" w:cs="Arial"/>
          <w:b/>
          <w:bCs/>
          <w:sz w:val="20"/>
          <w:szCs w:val="20"/>
          <w:lang w:eastAsia="hr-HR"/>
        </w:rPr>
        <w:t>Prihodi od upravnih i administrativnih pristojbi, pristojbi po posebnim propisima i naknada (skupina 65)</w:t>
      </w:r>
      <w:r w:rsidRPr="00906B08">
        <w:rPr>
          <w:rFonts w:ascii="Arial" w:hAnsi="Arial" w:cs="Arial"/>
          <w:sz w:val="20"/>
          <w:szCs w:val="20"/>
          <w:lang w:eastAsia="hr-HR"/>
        </w:rPr>
        <w:t xml:space="preserve"> ostvareni  su u iznosu od </w:t>
      </w:r>
      <w:r w:rsidR="00752345" w:rsidRPr="00906B08">
        <w:rPr>
          <w:rFonts w:ascii="Arial" w:hAnsi="Arial" w:cs="Arial"/>
          <w:b/>
          <w:bCs/>
          <w:sz w:val="20"/>
          <w:szCs w:val="20"/>
          <w:lang w:eastAsia="hr-HR"/>
        </w:rPr>
        <w:t>7</w:t>
      </w:r>
      <w:r w:rsidR="00B37EBB" w:rsidRPr="00906B08">
        <w:rPr>
          <w:rFonts w:ascii="Arial" w:hAnsi="Arial" w:cs="Arial"/>
          <w:b/>
          <w:bCs/>
          <w:sz w:val="20"/>
          <w:szCs w:val="20"/>
          <w:lang w:eastAsia="hr-HR"/>
        </w:rPr>
        <w:t>.</w:t>
      </w:r>
      <w:r w:rsidR="00752345" w:rsidRPr="00906B08">
        <w:rPr>
          <w:rFonts w:ascii="Arial" w:hAnsi="Arial" w:cs="Arial"/>
          <w:b/>
          <w:bCs/>
          <w:sz w:val="20"/>
          <w:szCs w:val="20"/>
          <w:lang w:eastAsia="hr-HR"/>
        </w:rPr>
        <w:t>702.625</w:t>
      </w:r>
      <w:r w:rsidR="003A6C5D" w:rsidRPr="00906B0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3A6C5D" w:rsidRPr="00906B08">
        <w:rPr>
          <w:rFonts w:ascii="Arial" w:hAnsi="Arial" w:cs="Arial"/>
          <w:sz w:val="20"/>
          <w:szCs w:val="20"/>
          <w:lang w:eastAsia="hr-HR"/>
        </w:rPr>
        <w:t>kn</w:t>
      </w:r>
      <w:r w:rsidRPr="00906B08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3A6C5D" w:rsidRPr="00906B08">
        <w:rPr>
          <w:rFonts w:ascii="Arial" w:hAnsi="Arial" w:cs="Arial"/>
          <w:sz w:val="20"/>
          <w:szCs w:val="20"/>
          <w:lang w:eastAsia="hr-HR"/>
        </w:rPr>
        <w:t>veći</w:t>
      </w:r>
      <w:r w:rsidRPr="00906B08">
        <w:rPr>
          <w:rFonts w:ascii="Arial" w:hAnsi="Arial" w:cs="Arial"/>
          <w:sz w:val="20"/>
          <w:szCs w:val="20"/>
          <w:lang w:eastAsia="hr-HR"/>
        </w:rPr>
        <w:t xml:space="preserve"> su u odnosu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na prethodnu godinu za </w:t>
      </w:r>
      <w:r w:rsidR="00B37EBB">
        <w:rPr>
          <w:rFonts w:ascii="Arial" w:hAnsi="Arial" w:cs="Arial"/>
          <w:sz w:val="20"/>
          <w:szCs w:val="20"/>
          <w:lang w:eastAsia="hr-HR"/>
        </w:rPr>
        <w:t>2</w:t>
      </w:r>
      <w:r w:rsidR="00752345">
        <w:rPr>
          <w:rFonts w:ascii="Arial" w:hAnsi="Arial" w:cs="Arial"/>
          <w:sz w:val="20"/>
          <w:szCs w:val="20"/>
          <w:lang w:eastAsia="hr-HR"/>
        </w:rPr>
        <w:t>1</w:t>
      </w:r>
      <w:r w:rsidRPr="00312C98">
        <w:rPr>
          <w:rFonts w:ascii="Arial" w:hAnsi="Arial" w:cs="Arial"/>
          <w:sz w:val="20"/>
          <w:szCs w:val="20"/>
          <w:lang w:eastAsia="hr-HR"/>
        </w:rPr>
        <w:t>%  (ili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37EBB">
        <w:rPr>
          <w:rFonts w:ascii="Arial" w:hAnsi="Arial" w:cs="Arial"/>
          <w:sz w:val="20"/>
          <w:szCs w:val="20"/>
          <w:lang w:eastAsia="hr-HR"/>
        </w:rPr>
        <w:t>1.</w:t>
      </w:r>
      <w:r w:rsidR="00752345">
        <w:rPr>
          <w:rFonts w:ascii="Arial" w:hAnsi="Arial" w:cs="Arial"/>
          <w:sz w:val="20"/>
          <w:szCs w:val="20"/>
          <w:lang w:eastAsia="hr-HR"/>
        </w:rPr>
        <w:t>335.044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kn).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Najveći pojedinačni prihod u ovoj skupini je komunalna naknada koja je naplaćena u iznosu od </w:t>
      </w:r>
      <w:r w:rsidR="00752345">
        <w:rPr>
          <w:rFonts w:ascii="Arial" w:hAnsi="Arial" w:cs="Arial"/>
          <w:sz w:val="20"/>
          <w:szCs w:val="20"/>
          <w:lang w:eastAsia="hr-HR"/>
        </w:rPr>
        <w:t>3</w:t>
      </w:r>
      <w:r w:rsidRPr="00312C98">
        <w:rPr>
          <w:rFonts w:ascii="Arial" w:hAnsi="Arial" w:cs="Arial"/>
          <w:sz w:val="20"/>
          <w:szCs w:val="20"/>
          <w:lang w:eastAsia="hr-HR"/>
        </w:rPr>
        <w:t>.</w:t>
      </w:r>
      <w:r w:rsidR="00752345">
        <w:rPr>
          <w:rFonts w:ascii="Arial" w:hAnsi="Arial" w:cs="Arial"/>
          <w:sz w:val="20"/>
          <w:szCs w:val="20"/>
          <w:lang w:eastAsia="hr-HR"/>
        </w:rPr>
        <w:t>447.462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752345">
        <w:rPr>
          <w:rFonts w:ascii="Arial" w:hAnsi="Arial" w:cs="Arial"/>
          <w:sz w:val="20"/>
          <w:szCs w:val="20"/>
          <w:lang w:eastAsia="hr-HR"/>
        </w:rPr>
        <w:t>636.276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752345">
        <w:rPr>
          <w:rFonts w:ascii="Arial" w:hAnsi="Arial" w:cs="Arial"/>
          <w:sz w:val="20"/>
          <w:szCs w:val="20"/>
          <w:lang w:eastAsia="hr-HR"/>
        </w:rPr>
        <w:t>23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%) </w:t>
      </w:r>
      <w:r w:rsidR="00A3756E">
        <w:rPr>
          <w:rFonts w:ascii="Arial" w:hAnsi="Arial" w:cs="Arial"/>
          <w:sz w:val="20"/>
          <w:szCs w:val="20"/>
          <w:lang w:eastAsia="hr-HR"/>
        </w:rPr>
        <w:t>više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godine. </w:t>
      </w:r>
      <w:r w:rsidR="00C178E5">
        <w:rPr>
          <w:rFonts w:ascii="Arial" w:hAnsi="Arial" w:cs="Arial"/>
          <w:sz w:val="20"/>
          <w:szCs w:val="20"/>
          <w:lang w:eastAsia="hr-HR"/>
        </w:rPr>
        <w:t xml:space="preserve">Naplata je veća </w:t>
      </w:r>
      <w:r w:rsidR="00BA252C">
        <w:rPr>
          <w:rFonts w:ascii="Arial" w:hAnsi="Arial" w:cs="Arial"/>
          <w:sz w:val="20"/>
          <w:szCs w:val="20"/>
          <w:lang w:eastAsia="hr-HR"/>
        </w:rPr>
        <w:t xml:space="preserve">radi pokretanja postupaka ovrhe na dospjele dugove po ovom prihodu. </w:t>
      </w:r>
      <w:r w:rsidRPr="00312C98">
        <w:rPr>
          <w:rFonts w:ascii="Arial" w:hAnsi="Arial" w:cs="Arial"/>
          <w:sz w:val="20"/>
          <w:szCs w:val="20"/>
          <w:lang w:eastAsia="hr-HR"/>
        </w:rPr>
        <w:t>Komunalni doprinos</w:t>
      </w:r>
      <w:r w:rsidRPr="00312C98">
        <w:rPr>
          <w:rFonts w:ascii="Arial" w:hAnsi="Arial" w:cs="Arial"/>
          <w:b/>
          <w:color w:val="00B0F0"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>ostvaren je</w:t>
      </w:r>
      <w:r w:rsidRPr="00312C9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752345">
        <w:rPr>
          <w:rFonts w:ascii="Arial" w:hAnsi="Arial" w:cs="Arial"/>
          <w:sz w:val="20"/>
          <w:szCs w:val="20"/>
          <w:lang w:eastAsia="hr-HR"/>
        </w:rPr>
        <w:t>2.209.049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kn što je </w:t>
      </w:r>
      <w:r w:rsidR="00A3756E">
        <w:rPr>
          <w:rFonts w:ascii="Arial" w:hAnsi="Arial" w:cs="Arial"/>
          <w:sz w:val="20"/>
          <w:szCs w:val="20"/>
          <w:lang w:eastAsia="hr-HR"/>
        </w:rPr>
        <w:t>1</w:t>
      </w:r>
      <w:r w:rsidR="00C178E5">
        <w:rPr>
          <w:rFonts w:ascii="Arial" w:hAnsi="Arial" w:cs="Arial"/>
          <w:sz w:val="20"/>
          <w:szCs w:val="20"/>
          <w:lang w:eastAsia="hr-HR"/>
        </w:rPr>
        <w:t>1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>više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 (ili</w:t>
      </w:r>
      <w:r w:rsidR="00C178E5">
        <w:rPr>
          <w:rFonts w:ascii="Arial" w:hAnsi="Arial" w:cs="Arial"/>
          <w:sz w:val="20"/>
          <w:szCs w:val="20"/>
          <w:lang w:eastAsia="hr-HR"/>
        </w:rPr>
        <w:t xml:space="preserve"> 226.094 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>kn</w:t>
      </w:r>
      <w:r w:rsidRPr="00312C98">
        <w:rPr>
          <w:rFonts w:ascii="Arial" w:hAnsi="Arial" w:cs="Arial"/>
          <w:sz w:val="20"/>
          <w:szCs w:val="20"/>
          <w:lang w:eastAsia="hr-HR"/>
        </w:rPr>
        <w:t>).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Povećanje rezultira većom gradnjom 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te prodajom 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>no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>vih građevinskih</w:t>
      </w:r>
      <w:r w:rsidR="00A3756E">
        <w:rPr>
          <w:rFonts w:ascii="Arial" w:hAnsi="Arial" w:cs="Arial"/>
          <w:sz w:val="20"/>
          <w:szCs w:val="20"/>
          <w:lang w:eastAsia="hr-HR"/>
        </w:rPr>
        <w:t>, stambenih i poslovnih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objekata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>.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Boravišn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e i turističke </w:t>
      </w:r>
      <w:r w:rsidRPr="00312C98">
        <w:rPr>
          <w:rFonts w:ascii="Arial" w:hAnsi="Arial" w:cs="Arial"/>
          <w:sz w:val="20"/>
          <w:szCs w:val="20"/>
          <w:lang w:eastAsia="hr-HR"/>
        </w:rPr>
        <w:t>pristojb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uplaćen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="00E01FC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su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 proračun u iznosu od </w:t>
      </w:r>
      <w:r w:rsidR="00CB77F2">
        <w:rPr>
          <w:rFonts w:ascii="Arial" w:hAnsi="Arial" w:cs="Arial"/>
          <w:sz w:val="20"/>
          <w:szCs w:val="20"/>
          <w:lang w:eastAsia="hr-HR"/>
        </w:rPr>
        <w:t>652.635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što je za </w:t>
      </w:r>
      <w:r w:rsidR="00CB77F2">
        <w:rPr>
          <w:rFonts w:ascii="Arial" w:hAnsi="Arial" w:cs="Arial"/>
          <w:sz w:val="20"/>
          <w:szCs w:val="20"/>
          <w:lang w:eastAsia="hr-HR"/>
        </w:rPr>
        <w:t>80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CB77F2">
        <w:rPr>
          <w:rFonts w:ascii="Arial" w:hAnsi="Arial" w:cs="Arial"/>
          <w:sz w:val="20"/>
          <w:szCs w:val="20"/>
          <w:lang w:eastAsia="hr-HR"/>
        </w:rPr>
        <w:t>290.309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>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) </w:t>
      </w:r>
      <w:r w:rsidR="00CB77F2">
        <w:rPr>
          <w:rFonts w:ascii="Arial" w:hAnsi="Arial" w:cs="Arial"/>
          <w:sz w:val="20"/>
          <w:szCs w:val="20"/>
          <w:lang w:eastAsia="hr-HR"/>
        </w:rPr>
        <w:t>više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CB77F2">
        <w:rPr>
          <w:rFonts w:ascii="Arial" w:hAnsi="Arial" w:cs="Arial"/>
          <w:sz w:val="20"/>
          <w:szCs w:val="20"/>
          <w:lang w:eastAsia="hr-HR"/>
        </w:rPr>
        <w:t>20</w:t>
      </w:r>
      <w:r w:rsidRPr="00312C98">
        <w:rPr>
          <w:rFonts w:ascii="Arial" w:hAnsi="Arial" w:cs="Arial"/>
          <w:sz w:val="20"/>
          <w:szCs w:val="20"/>
          <w:lang w:eastAsia="hr-HR"/>
        </w:rPr>
        <w:t>.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>Povećanje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proizlazi iz 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ostvarenog </w:t>
      </w:r>
      <w:r w:rsidR="00CB77F2">
        <w:rPr>
          <w:rFonts w:ascii="Arial" w:hAnsi="Arial" w:cs="Arial"/>
          <w:sz w:val="20"/>
          <w:szCs w:val="20"/>
          <w:lang w:eastAsia="hr-HR"/>
        </w:rPr>
        <w:t>većeg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broja turističkih noćenja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Prihodi vodnog gospodarstva su </w:t>
      </w:r>
      <w:r w:rsidR="00EF299A">
        <w:rPr>
          <w:rFonts w:ascii="Arial" w:hAnsi="Arial" w:cs="Arial"/>
          <w:sz w:val="20"/>
          <w:szCs w:val="20"/>
          <w:lang w:eastAsia="hr-HR"/>
        </w:rPr>
        <w:t>2</w:t>
      </w:r>
      <w:r w:rsidR="00CB77F2">
        <w:rPr>
          <w:rFonts w:ascii="Arial" w:hAnsi="Arial" w:cs="Arial"/>
          <w:sz w:val="20"/>
          <w:szCs w:val="20"/>
          <w:lang w:eastAsia="hr-HR"/>
        </w:rPr>
        <w:t>30.303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kn </w:t>
      </w:r>
      <w:r w:rsidR="00CB77F2">
        <w:rPr>
          <w:rFonts w:ascii="Arial" w:hAnsi="Arial" w:cs="Arial"/>
          <w:sz w:val="20"/>
          <w:szCs w:val="20"/>
          <w:lang w:eastAsia="hr-HR"/>
        </w:rPr>
        <w:t>i veći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su za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>9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CB77F2">
        <w:rPr>
          <w:rFonts w:ascii="Arial" w:hAnsi="Arial" w:cs="Arial"/>
          <w:sz w:val="20"/>
          <w:szCs w:val="20"/>
          <w:lang w:eastAsia="hr-HR"/>
        </w:rPr>
        <w:t>19.715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kn nego prošle godine</w:t>
      </w:r>
      <w:r w:rsidR="002E5E65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Mjesni samodoprinos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namijenjen sufinanciranju uređenja cesta i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ostalog, u ovom razdoblju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iznosi 23.642 kn, </w:t>
      </w:r>
      <w:r w:rsidR="00EF299A">
        <w:rPr>
          <w:rFonts w:ascii="Arial" w:hAnsi="Arial" w:cs="Arial"/>
          <w:sz w:val="20"/>
          <w:szCs w:val="20"/>
          <w:lang w:eastAsia="hr-HR"/>
        </w:rPr>
        <w:t>dok u prethodnom</w:t>
      </w:r>
      <w:r w:rsidR="00AD46BA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>nije ostvaren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Ostali nespomenuti prihodi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A055CD">
        <w:rPr>
          <w:rFonts w:ascii="Arial" w:hAnsi="Arial" w:cs="Arial"/>
          <w:sz w:val="20"/>
          <w:szCs w:val="20"/>
          <w:lang w:eastAsia="hr-HR"/>
        </w:rPr>
        <w:t>1.104.070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 kn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odnose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se pretežno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na prihode temeljem sufinanciranja roditelja za Dječji vrtić </w:t>
      </w:r>
      <w:r w:rsidRPr="00312C98">
        <w:rPr>
          <w:rFonts w:ascii="Arial" w:hAnsi="Arial" w:cs="Arial"/>
          <w:sz w:val="20"/>
          <w:szCs w:val="20"/>
          <w:lang w:eastAsia="hr-HR"/>
        </w:rPr>
        <w:lastRenderedPageBreak/>
        <w:t>Korčula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, prihod od lučke pristojbe, troškove postu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>pka</w:t>
      </w:r>
      <w:r w:rsidR="00AD46BA">
        <w:rPr>
          <w:rFonts w:ascii="Arial" w:hAnsi="Arial" w:cs="Arial"/>
          <w:sz w:val="20"/>
          <w:szCs w:val="20"/>
          <w:lang w:eastAsia="hr-HR"/>
        </w:rPr>
        <w:t>, naknadu za razvoj od NPKLM vodovoda d.o.o., razne refundacije,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 a u ovom razdoblju su veći za </w:t>
      </w:r>
      <w:r w:rsidR="00A055CD">
        <w:rPr>
          <w:rFonts w:ascii="Arial" w:hAnsi="Arial" w:cs="Arial"/>
          <w:sz w:val="20"/>
          <w:szCs w:val="20"/>
          <w:lang w:eastAsia="hr-HR"/>
        </w:rPr>
        <w:t>15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2936E8">
        <w:rPr>
          <w:rFonts w:ascii="Arial" w:hAnsi="Arial" w:cs="Arial"/>
          <w:sz w:val="20"/>
          <w:szCs w:val="20"/>
          <w:lang w:eastAsia="hr-HR"/>
        </w:rPr>
        <w:t>145.281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 kn)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>.</w:t>
      </w:r>
    </w:p>
    <w:p w14:paraId="6A70D11C" w14:textId="2A9AAB28" w:rsidR="002314CC" w:rsidRPr="00312C98" w:rsidRDefault="00E43486" w:rsidP="009677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>Iz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vršenje ove skupine prihoda za </w:t>
      </w:r>
      <w:r w:rsidR="00CA2E54">
        <w:rPr>
          <w:rFonts w:ascii="Arial" w:hAnsi="Arial" w:cs="Arial"/>
          <w:sz w:val="20"/>
          <w:szCs w:val="20"/>
          <w:lang w:eastAsia="hr-HR"/>
        </w:rPr>
        <w:t>4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% je </w:t>
      </w:r>
      <w:r w:rsidR="00CA2E54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 odnosu na plan.</w:t>
      </w:r>
    </w:p>
    <w:p w14:paraId="051314D0" w14:textId="77777777" w:rsidR="002314CC" w:rsidRPr="00312C98" w:rsidRDefault="002314CC" w:rsidP="002314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81229C8" w14:textId="3FAA4E57" w:rsidR="00E43486" w:rsidRPr="00906B08" w:rsidRDefault="002314CC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 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    </w:t>
      </w:r>
      <w:r w:rsidR="00402E09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E43486" w:rsidRPr="00906B08">
        <w:rPr>
          <w:rFonts w:ascii="Arial" w:hAnsi="Arial" w:cs="Arial"/>
          <w:b/>
          <w:sz w:val="20"/>
          <w:szCs w:val="20"/>
          <w:lang w:eastAsia="hr-HR"/>
        </w:rPr>
        <w:t>Prihodi od prodaje proizvoda i roba te pruženih usluga i prihodi od donacija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906B08">
        <w:rPr>
          <w:rFonts w:ascii="Arial" w:hAnsi="Arial" w:cs="Arial"/>
          <w:b/>
          <w:sz w:val="20"/>
          <w:szCs w:val="20"/>
          <w:lang w:eastAsia="hr-HR"/>
        </w:rPr>
        <w:t>(skupina 66)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BA5DCC" w:rsidRPr="00906B08">
        <w:rPr>
          <w:rFonts w:ascii="Arial" w:hAnsi="Arial" w:cs="Arial"/>
          <w:b/>
          <w:bCs/>
          <w:sz w:val="20"/>
          <w:szCs w:val="20"/>
          <w:lang w:eastAsia="hr-HR"/>
        </w:rPr>
        <w:t>798.310</w:t>
      </w:r>
      <w:r w:rsidR="003F40D1" w:rsidRPr="00906B0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3F40D1" w:rsidRPr="00906B08">
        <w:rPr>
          <w:rFonts w:ascii="Arial" w:hAnsi="Arial" w:cs="Arial"/>
          <w:sz w:val="20"/>
          <w:szCs w:val="20"/>
          <w:lang w:eastAsia="hr-HR"/>
        </w:rPr>
        <w:t xml:space="preserve">kn 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i</w:t>
      </w:r>
      <w:r w:rsidR="00204270" w:rsidRPr="00906B08">
        <w:rPr>
          <w:rFonts w:ascii="Arial" w:hAnsi="Arial" w:cs="Arial"/>
          <w:sz w:val="20"/>
          <w:szCs w:val="20"/>
          <w:lang w:eastAsia="hr-HR"/>
        </w:rPr>
        <w:t xml:space="preserve"> veći</w:t>
      </w:r>
      <w:r w:rsidR="009B5FC4" w:rsidRPr="00906B08">
        <w:rPr>
          <w:rFonts w:ascii="Arial" w:hAnsi="Arial" w:cs="Arial"/>
          <w:sz w:val="20"/>
          <w:szCs w:val="20"/>
          <w:lang w:eastAsia="hr-HR"/>
        </w:rPr>
        <w:t xml:space="preserve"> su </w:t>
      </w:r>
      <w:r w:rsidR="003B4DE1" w:rsidRPr="00906B08">
        <w:rPr>
          <w:rFonts w:ascii="Arial" w:hAnsi="Arial" w:cs="Arial"/>
          <w:sz w:val="20"/>
          <w:szCs w:val="20"/>
          <w:lang w:eastAsia="hr-HR"/>
        </w:rPr>
        <w:t xml:space="preserve">od </w:t>
      </w:r>
      <w:r w:rsidR="009B5FC4" w:rsidRPr="00906B08">
        <w:rPr>
          <w:rFonts w:ascii="Arial" w:hAnsi="Arial" w:cs="Arial"/>
          <w:sz w:val="20"/>
          <w:szCs w:val="20"/>
          <w:lang w:eastAsia="hr-HR"/>
        </w:rPr>
        <w:t>prošlogodišnjih</w:t>
      </w:r>
      <w:r w:rsidR="003B4DE1" w:rsidRPr="00906B08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204270" w:rsidRPr="00906B08">
        <w:rPr>
          <w:rFonts w:ascii="Arial" w:hAnsi="Arial" w:cs="Arial"/>
          <w:sz w:val="20"/>
          <w:szCs w:val="20"/>
          <w:lang w:eastAsia="hr-HR"/>
        </w:rPr>
        <w:t>180</w:t>
      </w:r>
      <w:r w:rsidR="003B4DE1" w:rsidRPr="00906B08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204270" w:rsidRPr="00906B08">
        <w:rPr>
          <w:rFonts w:ascii="Arial" w:hAnsi="Arial" w:cs="Arial"/>
          <w:sz w:val="20"/>
          <w:szCs w:val="20"/>
          <w:lang w:eastAsia="hr-HR"/>
        </w:rPr>
        <w:t>512.706</w:t>
      </w:r>
      <w:r w:rsidR="003B4DE1" w:rsidRPr="00906B08">
        <w:rPr>
          <w:rFonts w:ascii="Arial" w:hAnsi="Arial" w:cs="Arial"/>
          <w:sz w:val="20"/>
          <w:szCs w:val="20"/>
          <w:lang w:eastAsia="hr-HR"/>
        </w:rPr>
        <w:t xml:space="preserve"> kn,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a izvršenje ove skupine prihoda </w:t>
      </w:r>
      <w:r w:rsidR="00025FFF" w:rsidRPr="00906B08">
        <w:rPr>
          <w:rFonts w:ascii="Arial" w:hAnsi="Arial" w:cs="Arial"/>
          <w:sz w:val="20"/>
          <w:szCs w:val="20"/>
          <w:lang w:eastAsia="hr-HR"/>
        </w:rPr>
        <w:t>veće</w:t>
      </w:r>
      <w:r w:rsidR="003F40D1" w:rsidRPr="00906B08">
        <w:rPr>
          <w:rFonts w:ascii="Arial" w:hAnsi="Arial" w:cs="Arial"/>
          <w:sz w:val="20"/>
          <w:szCs w:val="20"/>
          <w:lang w:eastAsia="hr-HR"/>
        </w:rPr>
        <w:t xml:space="preserve"> je od plana za </w:t>
      </w:r>
      <w:r w:rsidR="00025FFF" w:rsidRPr="00906B08">
        <w:rPr>
          <w:rFonts w:ascii="Arial" w:hAnsi="Arial" w:cs="Arial"/>
          <w:sz w:val="20"/>
          <w:szCs w:val="20"/>
          <w:lang w:eastAsia="hr-HR"/>
        </w:rPr>
        <w:t>6</w:t>
      </w:r>
      <w:r w:rsidR="003F40D1" w:rsidRPr="00906B08">
        <w:rPr>
          <w:rFonts w:ascii="Arial" w:hAnsi="Arial" w:cs="Arial"/>
          <w:sz w:val="20"/>
          <w:szCs w:val="20"/>
          <w:lang w:eastAsia="hr-HR"/>
        </w:rPr>
        <w:t>%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63175E" w:rsidRPr="00906B08">
        <w:rPr>
          <w:rFonts w:ascii="Arial" w:hAnsi="Arial" w:cs="Arial"/>
          <w:sz w:val="20"/>
          <w:szCs w:val="20"/>
          <w:lang w:eastAsia="hr-HR"/>
        </w:rPr>
        <w:t xml:space="preserve">Prihodi proračunskih korisnika u ovoj skupini su prihodi od prodaje proizvoda u iznosu od </w:t>
      </w:r>
      <w:r w:rsidR="00025FFF" w:rsidRPr="00906B08">
        <w:rPr>
          <w:rFonts w:ascii="Arial" w:hAnsi="Arial" w:cs="Arial"/>
          <w:sz w:val="20"/>
          <w:szCs w:val="20"/>
          <w:lang w:eastAsia="hr-HR"/>
        </w:rPr>
        <w:t>6.689</w:t>
      </w:r>
      <w:r w:rsidR="0063175E" w:rsidRPr="00906B08">
        <w:rPr>
          <w:rFonts w:ascii="Arial" w:hAnsi="Arial" w:cs="Arial"/>
          <w:sz w:val="20"/>
          <w:szCs w:val="20"/>
          <w:lang w:eastAsia="hr-HR"/>
        </w:rPr>
        <w:t xml:space="preserve"> kn i prihodi od pruženih usluga u iznosu od </w:t>
      </w:r>
      <w:r w:rsidR="00025FFF" w:rsidRPr="00906B08">
        <w:rPr>
          <w:rFonts w:ascii="Arial" w:hAnsi="Arial" w:cs="Arial"/>
          <w:sz w:val="20"/>
          <w:szCs w:val="20"/>
          <w:lang w:eastAsia="hr-HR"/>
        </w:rPr>
        <w:t>512.102</w:t>
      </w:r>
      <w:r w:rsidR="0063175E" w:rsidRPr="00906B08">
        <w:rPr>
          <w:rFonts w:ascii="Arial" w:hAnsi="Arial" w:cs="Arial"/>
          <w:sz w:val="20"/>
          <w:szCs w:val="20"/>
          <w:lang w:eastAsia="hr-HR"/>
        </w:rPr>
        <w:t xml:space="preserve"> kn. Ovi prihodi </w:t>
      </w:r>
      <w:r w:rsidR="00025FFF" w:rsidRPr="00906B08">
        <w:rPr>
          <w:rFonts w:ascii="Arial" w:hAnsi="Arial" w:cs="Arial"/>
          <w:sz w:val="20"/>
          <w:szCs w:val="20"/>
          <w:lang w:eastAsia="hr-HR"/>
        </w:rPr>
        <w:t>veći</w:t>
      </w:r>
      <w:r w:rsidR="004703A2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63175E" w:rsidRPr="00906B08">
        <w:rPr>
          <w:rFonts w:ascii="Arial" w:hAnsi="Arial" w:cs="Arial"/>
          <w:sz w:val="20"/>
          <w:szCs w:val="20"/>
          <w:lang w:eastAsia="hr-HR"/>
        </w:rPr>
        <w:t xml:space="preserve">su u odnosu na prošlu godinu za iznos </w:t>
      </w:r>
      <w:r w:rsidR="00DA0CA8" w:rsidRPr="00906B08">
        <w:rPr>
          <w:rFonts w:ascii="Arial" w:hAnsi="Arial" w:cs="Arial"/>
          <w:sz w:val="20"/>
          <w:szCs w:val="20"/>
          <w:lang w:eastAsia="hr-HR"/>
        </w:rPr>
        <w:t>246.832</w:t>
      </w:r>
      <w:r w:rsidR="00CF1E2B" w:rsidRPr="00906B08">
        <w:rPr>
          <w:rFonts w:ascii="Arial" w:hAnsi="Arial" w:cs="Arial"/>
          <w:sz w:val="20"/>
          <w:szCs w:val="20"/>
          <w:lang w:eastAsia="hr-HR"/>
        </w:rPr>
        <w:t xml:space="preserve"> kn (</w:t>
      </w:r>
      <w:r w:rsidR="00DA0CA8" w:rsidRPr="00906B08">
        <w:rPr>
          <w:rFonts w:ascii="Arial" w:hAnsi="Arial" w:cs="Arial"/>
          <w:sz w:val="20"/>
          <w:szCs w:val="20"/>
          <w:lang w:eastAsia="hr-HR"/>
        </w:rPr>
        <w:t>91</w:t>
      </w:r>
      <w:r w:rsidR="00CF1E2B" w:rsidRPr="00906B08">
        <w:rPr>
          <w:rFonts w:ascii="Arial" w:hAnsi="Arial" w:cs="Arial"/>
          <w:sz w:val="20"/>
          <w:szCs w:val="20"/>
          <w:lang w:eastAsia="hr-HR"/>
        </w:rPr>
        <w:t xml:space="preserve">%). Tekuće donacije ostvarene su u iznosu od </w:t>
      </w:r>
      <w:r w:rsidR="00DA0CA8" w:rsidRPr="00906B08">
        <w:rPr>
          <w:rFonts w:ascii="Arial" w:hAnsi="Arial" w:cs="Arial"/>
          <w:sz w:val="20"/>
          <w:szCs w:val="20"/>
          <w:lang w:eastAsia="hr-HR"/>
        </w:rPr>
        <w:t>156.520</w:t>
      </w:r>
      <w:r w:rsidR="005E0BF0" w:rsidRPr="00906B08">
        <w:rPr>
          <w:rFonts w:ascii="Arial" w:hAnsi="Arial" w:cs="Arial"/>
          <w:sz w:val="20"/>
          <w:szCs w:val="20"/>
          <w:lang w:eastAsia="hr-HR"/>
        </w:rPr>
        <w:t xml:space="preserve"> kn dok su prošlogodišnje iznosile </w:t>
      </w:r>
      <w:r w:rsidR="00D24A8B" w:rsidRPr="00906B08">
        <w:rPr>
          <w:rFonts w:ascii="Arial" w:hAnsi="Arial" w:cs="Arial"/>
          <w:sz w:val="20"/>
          <w:szCs w:val="20"/>
          <w:lang w:eastAsia="hr-HR"/>
        </w:rPr>
        <w:t>1</w:t>
      </w:r>
      <w:r w:rsidR="00DA0CA8" w:rsidRPr="00906B08">
        <w:rPr>
          <w:rFonts w:ascii="Arial" w:hAnsi="Arial" w:cs="Arial"/>
          <w:sz w:val="20"/>
          <w:szCs w:val="20"/>
          <w:lang w:eastAsia="hr-HR"/>
        </w:rPr>
        <w:t>3.645</w:t>
      </w:r>
      <w:r w:rsidR="003765C7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5E0BF0" w:rsidRPr="00906B08">
        <w:rPr>
          <w:rFonts w:ascii="Arial" w:hAnsi="Arial" w:cs="Arial"/>
          <w:sz w:val="20"/>
          <w:szCs w:val="20"/>
          <w:lang w:eastAsia="hr-HR"/>
        </w:rPr>
        <w:t xml:space="preserve">. Odnose se na Grad </w:t>
      </w:r>
      <w:r w:rsidR="00AF12EE" w:rsidRPr="00906B08">
        <w:rPr>
          <w:rFonts w:ascii="Arial" w:hAnsi="Arial" w:cs="Arial"/>
          <w:sz w:val="20"/>
          <w:szCs w:val="20"/>
          <w:lang w:eastAsia="hr-HR"/>
        </w:rPr>
        <w:t>117.420</w:t>
      </w:r>
      <w:r w:rsidR="005E0BF0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7D5EC9" w:rsidRPr="00906B08">
        <w:rPr>
          <w:rFonts w:ascii="Arial" w:hAnsi="Arial" w:cs="Arial"/>
          <w:sz w:val="20"/>
          <w:szCs w:val="20"/>
          <w:lang w:eastAsia="hr-HR"/>
        </w:rPr>
        <w:t xml:space="preserve"> i to za: uređenje plaže LaBanya, kulturni program Grada, dane Petra Šegedina, humanitarne akcije i 5 bicikli Želim pomagati. Ostale donacije od 39.100 kn odnose se na </w:t>
      </w:r>
      <w:r w:rsidR="005E0BF0" w:rsidRPr="00906B08">
        <w:rPr>
          <w:rFonts w:ascii="Arial" w:hAnsi="Arial" w:cs="Arial"/>
          <w:sz w:val="20"/>
          <w:szCs w:val="20"/>
          <w:lang w:eastAsia="hr-HR"/>
        </w:rPr>
        <w:t>proračunske korisnike Gradsku knjižnicu i Dječji vrtić.</w:t>
      </w:r>
      <w:r w:rsidR="00D26595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2500F" w:rsidRPr="00906B08">
        <w:rPr>
          <w:rFonts w:ascii="Arial" w:hAnsi="Arial" w:cs="Arial"/>
          <w:sz w:val="20"/>
          <w:szCs w:val="20"/>
          <w:lang w:eastAsia="hr-HR"/>
        </w:rPr>
        <w:t>Kapitaln</w:t>
      </w:r>
      <w:r w:rsidR="009D5EB7" w:rsidRPr="00906B08">
        <w:rPr>
          <w:rFonts w:ascii="Arial" w:hAnsi="Arial" w:cs="Arial"/>
          <w:sz w:val="20"/>
          <w:szCs w:val="20"/>
          <w:lang w:eastAsia="hr-HR"/>
        </w:rPr>
        <w:t>e</w:t>
      </w:r>
      <w:r w:rsidR="00E2500F" w:rsidRPr="00906B08">
        <w:rPr>
          <w:rFonts w:ascii="Arial" w:hAnsi="Arial" w:cs="Arial"/>
          <w:sz w:val="20"/>
          <w:szCs w:val="20"/>
          <w:lang w:eastAsia="hr-HR"/>
        </w:rPr>
        <w:t xml:space="preserve"> donacij</w:t>
      </w:r>
      <w:r w:rsidR="009D5EB7" w:rsidRPr="00906B08">
        <w:rPr>
          <w:rFonts w:ascii="Arial" w:hAnsi="Arial" w:cs="Arial"/>
          <w:sz w:val="20"/>
          <w:szCs w:val="20"/>
          <w:lang w:eastAsia="hr-HR"/>
        </w:rPr>
        <w:t>e</w:t>
      </w:r>
      <w:r w:rsidR="00E2500F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24A8B" w:rsidRPr="00906B08">
        <w:rPr>
          <w:rFonts w:ascii="Arial" w:hAnsi="Arial" w:cs="Arial"/>
          <w:sz w:val="20"/>
          <w:szCs w:val="20"/>
          <w:lang w:eastAsia="hr-HR"/>
        </w:rPr>
        <w:t>u</w:t>
      </w:r>
      <w:r w:rsidR="00E2500F" w:rsidRPr="00906B08">
        <w:rPr>
          <w:rFonts w:ascii="Arial" w:hAnsi="Arial" w:cs="Arial"/>
          <w:sz w:val="20"/>
          <w:szCs w:val="20"/>
          <w:lang w:eastAsia="hr-HR"/>
        </w:rPr>
        <w:t xml:space="preserve"> ovom razdoblju </w:t>
      </w:r>
      <w:r w:rsidR="009D5EB7" w:rsidRPr="00906B08">
        <w:rPr>
          <w:rFonts w:ascii="Arial" w:hAnsi="Arial" w:cs="Arial"/>
          <w:sz w:val="20"/>
          <w:szCs w:val="20"/>
          <w:lang w:eastAsia="hr-HR"/>
        </w:rPr>
        <w:t>iznose 123.000 kn od trgovačkog društva Dream d.o.o. i to za sufinanciranje pristupne ceste Zgradi u Zagradcu. Kapitalnih donacija u 2020. nije bilo.</w:t>
      </w:r>
      <w:r w:rsidR="0063175E" w:rsidRPr="00906B08">
        <w:rPr>
          <w:rFonts w:ascii="Arial" w:hAnsi="Arial" w:cs="Arial"/>
          <w:sz w:val="20"/>
          <w:szCs w:val="20"/>
          <w:lang w:eastAsia="hr-HR"/>
        </w:rPr>
        <w:t xml:space="preserve">    </w:t>
      </w:r>
    </w:p>
    <w:p w14:paraId="7BD9BCA9" w14:textId="77777777" w:rsidR="00E43486" w:rsidRPr="00906B08" w:rsidRDefault="00E43486" w:rsidP="00E2595E">
      <w:pPr>
        <w:spacing w:after="0" w:line="240" w:lineRule="auto"/>
        <w:ind w:right="-322" w:firstLine="709"/>
        <w:jc w:val="both"/>
        <w:rPr>
          <w:rFonts w:ascii="Arial" w:hAnsi="Arial" w:cs="Arial"/>
          <w:sz w:val="20"/>
          <w:szCs w:val="20"/>
          <w:lang w:eastAsia="hr-HR"/>
        </w:rPr>
      </w:pPr>
    </w:p>
    <w:p w14:paraId="6B27ABE2" w14:textId="7B50B417" w:rsidR="00E43486" w:rsidRPr="00312C98" w:rsidRDefault="00E2595E" w:rsidP="00E2595E">
      <w:pPr>
        <w:jc w:val="both"/>
        <w:rPr>
          <w:rFonts w:ascii="Arial" w:hAnsi="Arial" w:cs="Arial"/>
          <w:sz w:val="20"/>
          <w:szCs w:val="20"/>
          <w:lang w:eastAsia="hr-HR"/>
        </w:rPr>
      </w:pPr>
      <w:r w:rsidRPr="00906B08">
        <w:rPr>
          <w:rFonts w:ascii="Arial" w:hAnsi="Arial" w:cs="Arial"/>
          <w:b/>
          <w:sz w:val="20"/>
          <w:szCs w:val="20"/>
          <w:lang w:eastAsia="hr-HR"/>
        </w:rPr>
        <w:t xml:space="preserve">           </w:t>
      </w:r>
      <w:r w:rsidR="00BA1367" w:rsidRPr="00906B08">
        <w:rPr>
          <w:rFonts w:ascii="Arial" w:hAnsi="Arial" w:cs="Arial"/>
          <w:b/>
          <w:sz w:val="20"/>
          <w:szCs w:val="20"/>
          <w:lang w:eastAsia="hr-HR"/>
        </w:rPr>
        <w:t xml:space="preserve">  </w:t>
      </w:r>
      <w:r w:rsidR="00E43486" w:rsidRPr="00906B08">
        <w:rPr>
          <w:rFonts w:ascii="Arial" w:hAnsi="Arial" w:cs="Arial"/>
          <w:b/>
          <w:sz w:val="20"/>
          <w:szCs w:val="20"/>
          <w:lang w:eastAsia="hr-HR"/>
        </w:rPr>
        <w:t>Kazne, upravne mjere i ostali prihodi  (skupina 68)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C460F3" w:rsidRPr="00906B08">
        <w:rPr>
          <w:rFonts w:ascii="Arial" w:hAnsi="Arial" w:cs="Arial"/>
          <w:b/>
          <w:bCs/>
          <w:sz w:val="20"/>
          <w:szCs w:val="20"/>
          <w:lang w:eastAsia="hr-HR"/>
        </w:rPr>
        <w:t>252.058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1B388B" w:rsidRPr="00906B08">
        <w:rPr>
          <w:rFonts w:ascii="Arial" w:hAnsi="Arial" w:cs="Arial"/>
          <w:sz w:val="20"/>
          <w:szCs w:val="20"/>
          <w:lang w:eastAsia="hr-HR"/>
        </w:rPr>
        <w:t>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C460F3" w:rsidRPr="00906B08">
        <w:rPr>
          <w:rFonts w:ascii="Arial" w:hAnsi="Arial" w:cs="Arial"/>
          <w:sz w:val="20"/>
          <w:szCs w:val="20"/>
          <w:lang w:eastAsia="hr-HR"/>
        </w:rPr>
        <w:t>74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% (</w:t>
      </w:r>
      <w:r w:rsidR="005E0BF0" w:rsidRPr="00906B08">
        <w:rPr>
          <w:rFonts w:ascii="Arial" w:hAnsi="Arial" w:cs="Arial"/>
          <w:sz w:val="20"/>
          <w:szCs w:val="20"/>
          <w:lang w:eastAsia="hr-HR"/>
        </w:rPr>
        <w:t>10</w:t>
      </w:r>
      <w:r w:rsidR="00C460F3" w:rsidRPr="00906B08">
        <w:rPr>
          <w:rFonts w:ascii="Arial" w:hAnsi="Arial" w:cs="Arial"/>
          <w:sz w:val="20"/>
          <w:szCs w:val="20"/>
          <w:lang w:eastAsia="hr-HR"/>
        </w:rPr>
        <w:t xml:space="preserve">7.173 </w:t>
      </w:r>
      <w:r w:rsidR="001B388B" w:rsidRPr="00906B08">
        <w:rPr>
          <w:rFonts w:ascii="Arial" w:hAnsi="Arial" w:cs="Arial"/>
          <w:sz w:val="20"/>
          <w:szCs w:val="20"/>
          <w:lang w:eastAsia="hr-HR"/>
        </w:rPr>
        <w:t>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)</w:t>
      </w:r>
      <w:r w:rsidR="001B388B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460F3" w:rsidRPr="00906B08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nego protekle godine</w:t>
      </w:r>
      <w:r w:rsidR="00EF013C" w:rsidRPr="00906B08">
        <w:rPr>
          <w:rFonts w:ascii="Arial" w:hAnsi="Arial" w:cs="Arial"/>
          <w:sz w:val="20"/>
          <w:szCs w:val="20"/>
          <w:lang w:eastAsia="hr-HR"/>
        </w:rPr>
        <w:t xml:space="preserve">. </w:t>
      </w:r>
      <w:r w:rsidRPr="00906B08">
        <w:rPr>
          <w:rFonts w:ascii="Arial" w:hAnsi="Arial" w:cs="Arial"/>
          <w:sz w:val="20"/>
          <w:szCs w:val="20"/>
          <w:lang w:eastAsia="hr-HR"/>
        </w:rPr>
        <w:t>Prihodi od kazni na prometne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1B388B" w:rsidRPr="00312C98">
        <w:rPr>
          <w:rFonts w:ascii="Arial" w:hAnsi="Arial" w:cs="Arial"/>
          <w:sz w:val="20"/>
          <w:szCs w:val="20"/>
          <w:lang w:eastAsia="hr-HR"/>
        </w:rPr>
        <w:t>ostale prekršaje u nadležnosti MUP-a</w:t>
      </w:r>
      <w:r w:rsidR="002D5CBD">
        <w:rPr>
          <w:rFonts w:ascii="Arial" w:hAnsi="Arial" w:cs="Arial"/>
          <w:sz w:val="20"/>
          <w:szCs w:val="20"/>
          <w:lang w:eastAsia="hr-HR"/>
        </w:rPr>
        <w:t>,</w:t>
      </w:r>
      <w:r w:rsidR="001B388B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D5CBD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su u odnosu na prethodnu godinu za </w:t>
      </w:r>
      <w:r w:rsidR="00C460F3">
        <w:rPr>
          <w:rFonts w:ascii="Arial" w:hAnsi="Arial" w:cs="Arial"/>
          <w:sz w:val="20"/>
          <w:szCs w:val="20"/>
          <w:lang w:eastAsia="hr-HR"/>
        </w:rPr>
        <w:t>5</w:t>
      </w:r>
      <w:r w:rsidRPr="00312C98">
        <w:rPr>
          <w:rFonts w:ascii="Arial" w:hAnsi="Arial" w:cs="Arial"/>
          <w:sz w:val="20"/>
          <w:szCs w:val="20"/>
          <w:lang w:eastAsia="hr-HR"/>
        </w:rPr>
        <w:t>% (</w:t>
      </w:r>
      <w:r w:rsidR="00C460F3">
        <w:rPr>
          <w:rFonts w:ascii="Arial" w:hAnsi="Arial" w:cs="Arial"/>
          <w:sz w:val="20"/>
          <w:szCs w:val="20"/>
          <w:lang w:eastAsia="hr-HR"/>
        </w:rPr>
        <w:t>6.734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kn). Ostali prihodi su ostvareni u iznosu od </w:t>
      </w:r>
      <w:r w:rsidR="00C460F3">
        <w:rPr>
          <w:rFonts w:ascii="Arial" w:hAnsi="Arial" w:cs="Arial"/>
          <w:sz w:val="20"/>
          <w:szCs w:val="20"/>
          <w:lang w:eastAsia="hr-HR"/>
        </w:rPr>
        <w:t>114.117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C460F3">
        <w:rPr>
          <w:rFonts w:ascii="Arial" w:hAnsi="Arial" w:cs="Arial"/>
          <w:sz w:val="20"/>
          <w:szCs w:val="20"/>
          <w:lang w:eastAsia="hr-HR"/>
        </w:rPr>
        <w:t xml:space="preserve"> i pretežno se odnose na prihode usljed otpisa obaveza prema dobavljačima, usljed </w:t>
      </w:r>
      <w:r w:rsidR="007E5C82">
        <w:rPr>
          <w:rFonts w:ascii="Arial" w:hAnsi="Arial" w:cs="Arial"/>
          <w:sz w:val="20"/>
          <w:szCs w:val="20"/>
          <w:lang w:eastAsia="hr-HR"/>
        </w:rPr>
        <w:t xml:space="preserve">nastupa </w:t>
      </w:r>
      <w:r w:rsidR="00C460F3">
        <w:rPr>
          <w:rFonts w:ascii="Arial" w:hAnsi="Arial" w:cs="Arial"/>
          <w:sz w:val="20"/>
          <w:szCs w:val="20"/>
          <w:lang w:eastAsia="hr-HR"/>
        </w:rPr>
        <w:t>zastare</w:t>
      </w:r>
      <w:r w:rsidR="007E5C82">
        <w:rPr>
          <w:rFonts w:ascii="Arial" w:hAnsi="Arial" w:cs="Arial"/>
          <w:sz w:val="20"/>
          <w:szCs w:val="20"/>
          <w:lang w:eastAsia="hr-HR"/>
        </w:rPr>
        <w:t>.</w:t>
      </w:r>
      <w:r w:rsidR="00C460F3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D5CBD">
        <w:rPr>
          <w:rFonts w:ascii="Arial" w:hAnsi="Arial" w:cs="Arial"/>
          <w:sz w:val="20"/>
          <w:szCs w:val="20"/>
          <w:lang w:eastAsia="hr-HR"/>
        </w:rPr>
        <w:t xml:space="preserve">Izvršenje ove skupine manje je za </w:t>
      </w:r>
      <w:r w:rsidR="00C460F3">
        <w:rPr>
          <w:rFonts w:ascii="Arial" w:hAnsi="Arial" w:cs="Arial"/>
          <w:sz w:val="20"/>
          <w:szCs w:val="20"/>
          <w:lang w:eastAsia="hr-HR"/>
        </w:rPr>
        <w:t>9</w:t>
      </w:r>
      <w:r w:rsidR="002D5CBD">
        <w:rPr>
          <w:rFonts w:ascii="Arial" w:hAnsi="Arial" w:cs="Arial"/>
          <w:sz w:val="20"/>
          <w:szCs w:val="20"/>
          <w:lang w:eastAsia="hr-HR"/>
        </w:rPr>
        <w:t>% od plana.</w:t>
      </w:r>
    </w:p>
    <w:p w14:paraId="6E0A8704" w14:textId="447DDBEB" w:rsidR="00E43486" w:rsidRPr="00906B08" w:rsidRDefault="00262333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372061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E43486" w:rsidRPr="00906B08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Prihodi od prodaje nefinancijske imovine</w:t>
      </w:r>
      <w:r w:rsidR="00E43486" w:rsidRPr="00906B08">
        <w:rPr>
          <w:rFonts w:ascii="Arial" w:hAnsi="Arial" w:cs="Arial"/>
          <w:b/>
          <w:bCs/>
          <w:sz w:val="20"/>
          <w:szCs w:val="20"/>
          <w:lang w:eastAsia="hr-HR"/>
        </w:rPr>
        <w:t xml:space="preserve"> (razred 7)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6A62D1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ostvareni su u iznosu od  </w:t>
      </w:r>
      <w:r w:rsidR="007216FB" w:rsidRPr="00906B08">
        <w:rPr>
          <w:rFonts w:ascii="Arial" w:hAnsi="Arial" w:cs="Arial"/>
          <w:b/>
          <w:bCs/>
          <w:sz w:val="20"/>
          <w:szCs w:val="20"/>
          <w:lang w:eastAsia="hr-HR"/>
        </w:rPr>
        <w:t>117.247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k</w:t>
      </w:r>
      <w:r w:rsidR="006A62D1" w:rsidRPr="00906B08">
        <w:rPr>
          <w:rFonts w:ascii="Arial" w:hAnsi="Arial" w:cs="Arial"/>
          <w:sz w:val="20"/>
          <w:szCs w:val="20"/>
          <w:lang w:eastAsia="hr-HR"/>
        </w:rPr>
        <w:t>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odnosno 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225</w:t>
      </w:r>
      <w:r w:rsidR="005829DD" w:rsidRPr="00906B08">
        <w:rPr>
          <w:rFonts w:ascii="Arial" w:hAnsi="Arial" w:cs="Arial"/>
          <w:sz w:val="20"/>
          <w:szCs w:val="20"/>
          <w:lang w:eastAsia="hr-HR"/>
        </w:rPr>
        <w:t>%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(ili 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81.198</w:t>
      </w:r>
      <w:r w:rsidR="006A62D1" w:rsidRPr="00906B08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) 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20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.godine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,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a odnose se na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: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sredstva</w:t>
      </w:r>
      <w:r w:rsidR="00EC2214" w:rsidRPr="00906B08">
        <w:rPr>
          <w:rFonts w:ascii="Arial" w:hAnsi="Arial" w:cs="Arial"/>
          <w:sz w:val="20"/>
          <w:szCs w:val="20"/>
          <w:lang w:eastAsia="hr-HR"/>
        </w:rPr>
        <w:t xml:space="preserve"> od prodaje gradskog vozila Passat 84.974 kn, te sredstva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od prodanih </w:t>
      </w:r>
      <w:r w:rsidR="00EC2214" w:rsidRPr="00906B08">
        <w:rPr>
          <w:rFonts w:ascii="Arial" w:hAnsi="Arial" w:cs="Arial"/>
          <w:sz w:val="20"/>
          <w:szCs w:val="20"/>
          <w:lang w:eastAsia="hr-HR"/>
        </w:rPr>
        <w:t xml:space="preserve">gradskih 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>stanova</w:t>
      </w:r>
      <w:r w:rsidR="00EC2214" w:rsidRPr="00906B08">
        <w:rPr>
          <w:rFonts w:ascii="Arial" w:hAnsi="Arial" w:cs="Arial"/>
          <w:sz w:val="20"/>
          <w:szCs w:val="20"/>
          <w:lang w:eastAsia="hr-HR"/>
        </w:rPr>
        <w:t xml:space="preserve"> 22.836 kn i zemljišta 9.437 kn</w:t>
      </w:r>
      <w:r w:rsidR="005829DD" w:rsidRPr="00906B08">
        <w:rPr>
          <w:rFonts w:ascii="Arial" w:hAnsi="Arial" w:cs="Arial"/>
          <w:sz w:val="20"/>
          <w:szCs w:val="20"/>
          <w:lang w:eastAsia="hr-HR"/>
        </w:rPr>
        <w:t>.</w:t>
      </w:r>
      <w:r w:rsidR="00E43486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C2214" w:rsidRPr="00906B08">
        <w:rPr>
          <w:rFonts w:ascii="Arial" w:hAnsi="Arial" w:cs="Arial"/>
          <w:sz w:val="20"/>
          <w:szCs w:val="20"/>
          <w:lang w:eastAsia="hr-HR"/>
        </w:rPr>
        <w:t>Izv</w:t>
      </w:r>
      <w:r w:rsidR="004F23BD" w:rsidRPr="00906B08">
        <w:rPr>
          <w:rFonts w:ascii="Arial" w:hAnsi="Arial" w:cs="Arial"/>
          <w:sz w:val="20"/>
          <w:szCs w:val="20"/>
          <w:lang w:eastAsia="hr-HR"/>
        </w:rPr>
        <w:t>ršenje ov</w:t>
      </w:r>
      <w:r w:rsidR="007216FB" w:rsidRPr="00906B08">
        <w:rPr>
          <w:rFonts w:ascii="Arial" w:hAnsi="Arial" w:cs="Arial"/>
          <w:sz w:val="20"/>
          <w:szCs w:val="20"/>
          <w:lang w:eastAsia="hr-HR"/>
        </w:rPr>
        <w:t>og</w:t>
      </w:r>
      <w:r w:rsidR="004F23BD" w:rsidRPr="00906B08">
        <w:rPr>
          <w:rFonts w:ascii="Arial" w:hAnsi="Arial" w:cs="Arial"/>
          <w:sz w:val="20"/>
          <w:szCs w:val="20"/>
          <w:lang w:eastAsia="hr-HR"/>
        </w:rPr>
        <w:t xml:space="preserve"> prihoda </w:t>
      </w:r>
      <w:r w:rsidR="005829DD" w:rsidRPr="00906B08">
        <w:rPr>
          <w:rFonts w:ascii="Arial" w:hAnsi="Arial" w:cs="Arial"/>
          <w:sz w:val="20"/>
          <w:szCs w:val="20"/>
          <w:lang w:eastAsia="hr-HR"/>
        </w:rPr>
        <w:t xml:space="preserve">manje je za </w:t>
      </w:r>
      <w:r w:rsidR="00EC2214" w:rsidRPr="00906B08">
        <w:rPr>
          <w:rFonts w:ascii="Arial" w:hAnsi="Arial" w:cs="Arial"/>
          <w:sz w:val="20"/>
          <w:szCs w:val="20"/>
          <w:lang w:eastAsia="hr-HR"/>
        </w:rPr>
        <w:t>2</w:t>
      </w:r>
      <w:r w:rsidR="005829DD" w:rsidRPr="00906B08">
        <w:rPr>
          <w:rFonts w:ascii="Arial" w:hAnsi="Arial" w:cs="Arial"/>
          <w:sz w:val="20"/>
          <w:szCs w:val="20"/>
          <w:lang w:eastAsia="hr-HR"/>
        </w:rPr>
        <w:t>% od plana.</w:t>
      </w:r>
      <w:r w:rsidR="00AA5B0F" w:rsidRPr="00906B08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59F098C1" w14:textId="77777777" w:rsidR="00EC2214" w:rsidRPr="00906B08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E668363" w14:textId="5A9863BA" w:rsidR="00670536" w:rsidRDefault="00262333" w:rsidP="00670536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 </w:t>
      </w:r>
      <w:r w:rsidR="00E43486" w:rsidRPr="00906B08">
        <w:rPr>
          <w:rFonts w:ascii="Arial" w:hAnsi="Arial" w:cs="Arial"/>
          <w:b/>
          <w:sz w:val="20"/>
          <w:szCs w:val="20"/>
          <w:u w:val="single"/>
          <w:lang w:eastAsia="hr-HR"/>
        </w:rPr>
        <w:t>Primici od financijske</w:t>
      </w:r>
      <w:r w:rsidR="00E43486" w:rsidRPr="00776AF3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imovine i zaduživanja</w:t>
      </w:r>
      <w:r w:rsidR="00E43486" w:rsidRPr="00312C98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</w:t>
      </w:r>
      <w:r w:rsidR="00E43486" w:rsidRPr="00312C98">
        <w:rPr>
          <w:rFonts w:ascii="Arial" w:hAnsi="Arial" w:cs="Arial"/>
          <w:b/>
          <w:sz w:val="20"/>
          <w:szCs w:val="20"/>
          <w:lang w:eastAsia="hr-HR"/>
        </w:rPr>
        <w:t>(razred 8)</w:t>
      </w:r>
      <w:r w:rsidR="0067053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670536" w:rsidRPr="00670536">
        <w:rPr>
          <w:rFonts w:ascii="Arial" w:hAnsi="Arial" w:cs="Arial"/>
          <w:sz w:val="20"/>
          <w:szCs w:val="20"/>
        </w:rPr>
        <w:t xml:space="preserve">veći su nego prethodne godine za iznos od </w:t>
      </w:r>
      <w:r w:rsidR="00BC2B17">
        <w:rPr>
          <w:rFonts w:ascii="Arial" w:hAnsi="Arial" w:cs="Arial"/>
          <w:sz w:val="20"/>
          <w:szCs w:val="20"/>
        </w:rPr>
        <w:t>2.236.590</w:t>
      </w:r>
      <w:r w:rsidR="00670536" w:rsidRPr="00670536">
        <w:rPr>
          <w:rFonts w:ascii="Arial" w:hAnsi="Arial" w:cs="Arial"/>
          <w:sz w:val="20"/>
          <w:szCs w:val="20"/>
        </w:rPr>
        <w:t xml:space="preserve"> kn</w:t>
      </w:r>
      <w:r w:rsidR="00670536">
        <w:rPr>
          <w:rFonts w:ascii="Arial" w:hAnsi="Arial" w:cs="Arial"/>
          <w:sz w:val="20"/>
          <w:szCs w:val="20"/>
        </w:rPr>
        <w:t xml:space="preserve"> </w:t>
      </w:r>
      <w:r w:rsidR="00BC2B17">
        <w:rPr>
          <w:rFonts w:ascii="Arial" w:hAnsi="Arial" w:cs="Arial"/>
          <w:sz w:val="20"/>
          <w:szCs w:val="20"/>
        </w:rPr>
        <w:t xml:space="preserve">(36%), </w:t>
      </w:r>
      <w:r w:rsidR="00670536">
        <w:rPr>
          <w:rFonts w:ascii="Arial" w:hAnsi="Arial" w:cs="Arial"/>
          <w:sz w:val="20"/>
          <w:szCs w:val="20"/>
        </w:rPr>
        <w:t xml:space="preserve">te iznose </w:t>
      </w:r>
      <w:r w:rsidR="00BC2B17">
        <w:rPr>
          <w:rFonts w:ascii="Arial" w:hAnsi="Arial" w:cs="Arial"/>
          <w:b/>
          <w:bCs/>
          <w:sz w:val="20"/>
          <w:szCs w:val="20"/>
        </w:rPr>
        <w:t>8.502.754</w:t>
      </w:r>
      <w:r w:rsidR="00670536">
        <w:rPr>
          <w:rFonts w:ascii="Arial" w:hAnsi="Arial" w:cs="Arial"/>
          <w:b/>
          <w:bCs/>
          <w:sz w:val="20"/>
          <w:szCs w:val="20"/>
        </w:rPr>
        <w:t xml:space="preserve"> </w:t>
      </w:r>
      <w:r w:rsidR="00670536">
        <w:rPr>
          <w:rFonts w:ascii="Arial" w:hAnsi="Arial" w:cs="Arial"/>
          <w:sz w:val="20"/>
          <w:szCs w:val="20"/>
        </w:rPr>
        <w:t>kn.</w:t>
      </w:r>
    </w:p>
    <w:p w14:paraId="1B434C83" w14:textId="77777777" w:rsidR="002F02CD" w:rsidRDefault="00670536" w:rsidP="002F02CD">
      <w:p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670536">
        <w:rPr>
          <w:rFonts w:ascii="Arial" w:hAnsi="Arial" w:cs="Arial"/>
          <w:sz w:val="20"/>
          <w:szCs w:val="20"/>
        </w:rPr>
        <w:t xml:space="preserve">U ovom razdoblju realiziran je </w:t>
      </w:r>
      <w:r w:rsidR="00BC2B17">
        <w:rPr>
          <w:rFonts w:ascii="Arial" w:hAnsi="Arial" w:cs="Arial"/>
          <w:sz w:val="20"/>
          <w:szCs w:val="20"/>
        </w:rPr>
        <w:t xml:space="preserve">veći dio </w:t>
      </w:r>
      <w:r w:rsidRPr="00670536">
        <w:rPr>
          <w:rFonts w:ascii="Arial" w:hAnsi="Arial" w:cs="Arial"/>
          <w:sz w:val="20"/>
          <w:szCs w:val="20"/>
        </w:rPr>
        <w:t>kredit</w:t>
      </w:r>
      <w:r w:rsidR="00BC2B17">
        <w:rPr>
          <w:rFonts w:ascii="Arial" w:hAnsi="Arial" w:cs="Arial"/>
          <w:sz w:val="20"/>
          <w:szCs w:val="20"/>
        </w:rPr>
        <w:t>a od</w:t>
      </w:r>
      <w:r w:rsidRPr="00670536">
        <w:rPr>
          <w:rFonts w:ascii="Arial" w:eastAsia="Times New Roman" w:hAnsi="Arial" w:cs="Arial"/>
          <w:sz w:val="20"/>
          <w:szCs w:val="20"/>
        </w:rPr>
        <w:t xml:space="preserve"> 14.495.000 kn kod HBOR-a, namijenjen predfinanciranju kapitalnih projekata sufinanciranih sredstvima iz EU fondova i to: Šetalište Tina Ujevića, obnova kuće Marka Pola, Revitalizacija obrambenih utvrda Grada Korčule i obnova Gradskog Muzeja.</w:t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670536">
        <w:rPr>
          <w:rFonts w:ascii="Arial" w:eastAsia="Times New Roman" w:hAnsi="Arial" w:cs="Arial"/>
          <w:sz w:val="20"/>
          <w:szCs w:val="20"/>
        </w:rPr>
        <w:t xml:space="preserve">ijelom kredita u iznosu od </w:t>
      </w:r>
      <w:r w:rsidR="00BC2B17">
        <w:rPr>
          <w:rFonts w:ascii="Arial" w:eastAsia="Times New Roman" w:hAnsi="Arial" w:cs="Arial"/>
          <w:sz w:val="20"/>
          <w:szCs w:val="20"/>
        </w:rPr>
        <w:t>8.502.754</w:t>
      </w:r>
      <w:r w:rsidRPr="00670536">
        <w:rPr>
          <w:rFonts w:ascii="Arial" w:eastAsia="Times New Roman" w:hAnsi="Arial" w:cs="Arial"/>
          <w:sz w:val="20"/>
          <w:szCs w:val="20"/>
        </w:rPr>
        <w:t xml:space="preserve"> kn podmireni su neplaćeni računi dobavljača, izvođača radova</w:t>
      </w:r>
      <w:r w:rsidR="00BC2B17">
        <w:rPr>
          <w:rFonts w:ascii="Arial" w:eastAsia="Times New Roman" w:hAnsi="Arial" w:cs="Arial"/>
          <w:sz w:val="20"/>
          <w:szCs w:val="20"/>
        </w:rPr>
        <w:t>,</w:t>
      </w:r>
      <w:r w:rsidRPr="00670536">
        <w:rPr>
          <w:rFonts w:ascii="Arial" w:eastAsia="Times New Roman" w:hAnsi="Arial" w:cs="Arial"/>
          <w:sz w:val="20"/>
          <w:szCs w:val="20"/>
        </w:rPr>
        <w:t xml:space="preserve"> a </w:t>
      </w:r>
      <w:r w:rsidR="00BC2B17">
        <w:rPr>
          <w:rFonts w:ascii="Arial" w:eastAsia="Times New Roman" w:hAnsi="Arial" w:cs="Arial"/>
          <w:sz w:val="20"/>
          <w:szCs w:val="20"/>
        </w:rPr>
        <w:t>pre</w:t>
      </w:r>
      <w:r w:rsidRPr="00670536">
        <w:rPr>
          <w:rFonts w:ascii="Arial" w:eastAsia="Times New Roman" w:hAnsi="Arial" w:cs="Arial"/>
          <w:sz w:val="20"/>
          <w:szCs w:val="20"/>
        </w:rPr>
        <w:t>ostalim dijelom podmirivat će se preostali dio neisporučenih računa dobavljača</w:t>
      </w:r>
      <w:r w:rsidR="002F02CD">
        <w:rPr>
          <w:rFonts w:ascii="Arial" w:eastAsia="Times New Roman" w:hAnsi="Arial" w:cs="Arial"/>
          <w:sz w:val="20"/>
          <w:szCs w:val="20"/>
        </w:rPr>
        <w:t>,</w:t>
      </w:r>
      <w:r w:rsidRPr="00670536">
        <w:rPr>
          <w:rFonts w:ascii="Arial" w:eastAsia="Times New Roman" w:hAnsi="Arial" w:cs="Arial"/>
          <w:sz w:val="20"/>
          <w:szCs w:val="20"/>
        </w:rPr>
        <w:t xml:space="preserve"> odnosno završit će se financiranje navedenih projekata. </w:t>
      </w:r>
      <w:r w:rsidR="00BC2B17">
        <w:rPr>
          <w:rFonts w:ascii="Arial" w:eastAsia="Times New Roman" w:hAnsi="Arial" w:cs="Arial"/>
          <w:sz w:val="20"/>
          <w:szCs w:val="20"/>
        </w:rPr>
        <w:t xml:space="preserve">U 2020. </w:t>
      </w:r>
      <w:r w:rsidR="002F02CD">
        <w:rPr>
          <w:rFonts w:ascii="Arial" w:eastAsia="Times New Roman" w:hAnsi="Arial" w:cs="Arial"/>
          <w:sz w:val="20"/>
          <w:szCs w:val="20"/>
        </w:rPr>
        <w:t>iskorišteni</w:t>
      </w:r>
      <w:r w:rsidR="00BC2B17">
        <w:rPr>
          <w:rFonts w:ascii="Arial" w:eastAsia="Times New Roman" w:hAnsi="Arial" w:cs="Arial"/>
          <w:sz w:val="20"/>
          <w:szCs w:val="20"/>
        </w:rPr>
        <w:t xml:space="preserve"> dio kredita iznosi 5.011.148 kn. </w:t>
      </w:r>
    </w:p>
    <w:p w14:paraId="32C73FA9" w14:textId="30976CE2" w:rsidR="003F6BCD" w:rsidRDefault="002F02CD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</w:rPr>
        <w:t>U ovom razdoblju nije bilo korištenja</w:t>
      </w:r>
      <w:r w:rsidR="00670536" w:rsidRPr="00670536">
        <w:rPr>
          <w:rFonts w:ascii="Arial" w:eastAsia="Times New Roman" w:hAnsi="Arial" w:cs="Arial"/>
          <w:sz w:val="20"/>
          <w:szCs w:val="20"/>
        </w:rPr>
        <w:t xml:space="preserve"> beskamatn</w:t>
      </w:r>
      <w:r>
        <w:rPr>
          <w:rFonts w:ascii="Arial" w:eastAsia="Times New Roman" w:hAnsi="Arial" w:cs="Arial"/>
          <w:sz w:val="20"/>
          <w:szCs w:val="20"/>
        </w:rPr>
        <w:t xml:space="preserve">og </w:t>
      </w:r>
      <w:r w:rsidR="00670536" w:rsidRPr="00670536">
        <w:rPr>
          <w:rFonts w:ascii="Arial" w:eastAsia="Times New Roman" w:hAnsi="Arial" w:cs="Arial"/>
          <w:sz w:val="20"/>
          <w:szCs w:val="20"/>
        </w:rPr>
        <w:t>kredit</w:t>
      </w:r>
      <w:r>
        <w:rPr>
          <w:rFonts w:ascii="Arial" w:eastAsia="Times New Roman" w:hAnsi="Arial" w:cs="Arial"/>
          <w:sz w:val="20"/>
          <w:szCs w:val="20"/>
        </w:rPr>
        <w:t>a</w:t>
      </w:r>
      <w:r w:rsidR="00670536" w:rsidRPr="00670536">
        <w:rPr>
          <w:rFonts w:ascii="Arial" w:eastAsia="Times New Roman" w:hAnsi="Arial" w:cs="Arial"/>
          <w:sz w:val="20"/>
          <w:szCs w:val="20"/>
        </w:rPr>
        <w:t xml:space="preserve"> Ministarstva financija</w:t>
      </w:r>
      <w:r>
        <w:rPr>
          <w:rFonts w:ascii="Arial" w:eastAsia="Times New Roman" w:hAnsi="Arial" w:cs="Arial"/>
          <w:sz w:val="20"/>
          <w:szCs w:val="20"/>
        </w:rPr>
        <w:t>,</w:t>
      </w:r>
      <w:r w:rsidR="00670536" w:rsidRPr="00670536">
        <w:rPr>
          <w:rFonts w:ascii="Arial" w:eastAsia="Times New Roman" w:hAnsi="Arial" w:cs="Arial"/>
          <w:sz w:val="20"/>
          <w:szCs w:val="20"/>
        </w:rPr>
        <w:t xml:space="preserve"> s</w:t>
      </w:r>
      <w:r w:rsidR="00670536" w:rsidRPr="00670536">
        <w:rPr>
          <w:rFonts w:ascii="Arial" w:hAnsi="Arial" w:cs="Arial"/>
          <w:sz w:val="20"/>
          <w:szCs w:val="20"/>
          <w:lang w:eastAsia="hr-HR"/>
        </w:rPr>
        <w:t>ukladno Naputku o načinu isplate beskamatnog zajma JLP(R)S, HZMO i HZZO</w:t>
      </w:r>
      <w:r>
        <w:rPr>
          <w:rFonts w:ascii="Arial" w:hAnsi="Arial" w:cs="Arial"/>
          <w:sz w:val="20"/>
          <w:szCs w:val="20"/>
          <w:lang w:eastAsia="hr-HR"/>
        </w:rPr>
        <w:t>, dok je u prethodnom iznosio</w:t>
      </w:r>
      <w:r w:rsidR="003F6BCD">
        <w:rPr>
          <w:rFonts w:ascii="Arial" w:hAnsi="Arial" w:cs="Arial"/>
          <w:sz w:val="20"/>
          <w:szCs w:val="20"/>
          <w:lang w:eastAsia="hr-HR"/>
        </w:rPr>
        <w:t xml:space="preserve"> 1.255.015 kn.</w:t>
      </w:r>
    </w:p>
    <w:p w14:paraId="3C38D66B" w14:textId="540CE3F9" w:rsidR="002F02CD" w:rsidRPr="003F6BCD" w:rsidRDefault="002F02CD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Izvršenje primitaka za 29% manje je od planiranog.</w:t>
      </w:r>
    </w:p>
    <w:p w14:paraId="69C95758" w14:textId="120ADA26" w:rsidR="00BA1367" w:rsidRDefault="00E43486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  <w:r w:rsidRPr="001A6164">
        <w:rPr>
          <w:rFonts w:ascii="Arial" w:hAnsi="Arial" w:cs="Arial"/>
          <w:sz w:val="18"/>
          <w:szCs w:val="18"/>
          <w:lang w:eastAsia="hr-HR"/>
        </w:rPr>
        <w:t xml:space="preserve"> </w:t>
      </w:r>
    </w:p>
    <w:p w14:paraId="455FA42B" w14:textId="77777777" w:rsidR="00996A02" w:rsidRDefault="00996A02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0F636DFB" w14:textId="5DB0FC3B" w:rsidR="00E43486" w:rsidRDefault="00E43486" w:rsidP="00E43486">
      <w:pPr>
        <w:ind w:right="5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3857FB">
        <w:rPr>
          <w:rFonts w:ascii="Arial" w:hAnsi="Arial" w:cs="Arial"/>
          <w:b/>
          <w:bCs/>
          <w:i/>
          <w:sz w:val="24"/>
          <w:szCs w:val="24"/>
        </w:rPr>
        <w:t>O rashodima i izdacima</w:t>
      </w:r>
    </w:p>
    <w:p w14:paraId="7D1433E6" w14:textId="77777777" w:rsidR="009B2A5B" w:rsidRDefault="00E43486" w:rsidP="009B2A5B">
      <w:pPr>
        <w:ind w:right="57" w:firstLine="720"/>
        <w:jc w:val="both"/>
        <w:rPr>
          <w:rFonts w:ascii="Arial" w:hAnsi="Arial" w:cs="Arial"/>
          <w:bCs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Rashodi i izdaci</w:t>
      </w:r>
      <w:r w:rsidRPr="00B37EBB">
        <w:rPr>
          <w:rFonts w:ascii="Arial" w:hAnsi="Arial" w:cs="Arial"/>
          <w:b/>
          <w:bCs/>
          <w:sz w:val="20"/>
          <w:szCs w:val="20"/>
        </w:rPr>
        <w:t xml:space="preserve"> (razredi 3, 4 i 5)</w:t>
      </w:r>
      <w:r w:rsidRPr="00B37EBB">
        <w:rPr>
          <w:rFonts w:ascii="Arial" w:hAnsi="Arial" w:cs="Arial"/>
          <w:bCs/>
          <w:sz w:val="20"/>
          <w:szCs w:val="20"/>
        </w:rPr>
        <w:t xml:space="preserve"> ostvareni su u iznosu  od </w:t>
      </w:r>
      <w:r w:rsidR="00D10F4E">
        <w:rPr>
          <w:rFonts w:ascii="Arial" w:hAnsi="Arial" w:cs="Arial"/>
          <w:b/>
          <w:bCs/>
          <w:sz w:val="20"/>
          <w:szCs w:val="20"/>
        </w:rPr>
        <w:t>43.631.148</w:t>
      </w:r>
      <w:r w:rsidR="002A1414" w:rsidRPr="00B37EBB">
        <w:rPr>
          <w:rFonts w:ascii="Arial" w:hAnsi="Arial" w:cs="Arial"/>
          <w:b/>
          <w:bCs/>
          <w:sz w:val="20"/>
          <w:szCs w:val="20"/>
        </w:rPr>
        <w:t xml:space="preserve"> </w:t>
      </w:r>
      <w:r w:rsidR="002A1414" w:rsidRPr="00B37EBB">
        <w:rPr>
          <w:rFonts w:ascii="Arial" w:hAnsi="Arial" w:cs="Arial"/>
          <w:bCs/>
          <w:sz w:val="20"/>
          <w:szCs w:val="20"/>
        </w:rPr>
        <w:t>kn</w:t>
      </w:r>
      <w:r w:rsidRPr="00B37EBB">
        <w:rPr>
          <w:rFonts w:ascii="Arial" w:hAnsi="Arial" w:cs="Arial"/>
          <w:bCs/>
          <w:sz w:val="20"/>
          <w:szCs w:val="20"/>
        </w:rPr>
        <w:t xml:space="preserve"> što je za </w:t>
      </w:r>
      <w:r w:rsidR="003857FB" w:rsidRPr="00B37EBB">
        <w:rPr>
          <w:rFonts w:ascii="Arial" w:hAnsi="Arial" w:cs="Arial"/>
          <w:bCs/>
          <w:sz w:val="20"/>
          <w:szCs w:val="20"/>
        </w:rPr>
        <w:t>1</w:t>
      </w:r>
      <w:r w:rsidR="00AD2D47">
        <w:rPr>
          <w:rFonts w:ascii="Arial" w:hAnsi="Arial" w:cs="Arial"/>
          <w:bCs/>
          <w:sz w:val="20"/>
          <w:szCs w:val="20"/>
        </w:rPr>
        <w:t>0.</w:t>
      </w:r>
      <w:r w:rsidR="00994936">
        <w:rPr>
          <w:rFonts w:ascii="Arial" w:hAnsi="Arial" w:cs="Arial"/>
          <w:bCs/>
          <w:sz w:val="20"/>
          <w:szCs w:val="20"/>
        </w:rPr>
        <w:t>999</w:t>
      </w:r>
      <w:r w:rsidR="00AD2D47">
        <w:rPr>
          <w:rFonts w:ascii="Arial" w:hAnsi="Arial" w:cs="Arial"/>
          <w:bCs/>
          <w:sz w:val="20"/>
          <w:szCs w:val="20"/>
        </w:rPr>
        <w:t>.26</w:t>
      </w:r>
      <w:r w:rsidR="00994936">
        <w:rPr>
          <w:rFonts w:ascii="Arial" w:hAnsi="Arial" w:cs="Arial"/>
          <w:bCs/>
          <w:sz w:val="20"/>
          <w:szCs w:val="20"/>
        </w:rPr>
        <w:t>9</w:t>
      </w:r>
      <w:r w:rsidR="003857FB" w:rsidRPr="00B37EBB">
        <w:rPr>
          <w:rFonts w:ascii="Arial" w:hAnsi="Arial" w:cs="Arial"/>
          <w:bCs/>
          <w:sz w:val="20"/>
          <w:szCs w:val="20"/>
        </w:rPr>
        <w:t xml:space="preserve"> kn (</w:t>
      </w:r>
      <w:r w:rsidR="00D10F4E">
        <w:rPr>
          <w:rFonts w:ascii="Arial" w:hAnsi="Arial" w:cs="Arial"/>
          <w:bCs/>
          <w:sz w:val="20"/>
          <w:szCs w:val="20"/>
        </w:rPr>
        <w:t>3</w:t>
      </w:r>
      <w:r w:rsidR="003857FB" w:rsidRPr="00B37EBB">
        <w:rPr>
          <w:rFonts w:ascii="Arial" w:hAnsi="Arial" w:cs="Arial"/>
          <w:bCs/>
          <w:sz w:val="20"/>
          <w:szCs w:val="20"/>
        </w:rPr>
        <w:t>4</w:t>
      </w:r>
      <w:r w:rsidRPr="00B37EBB">
        <w:rPr>
          <w:rFonts w:ascii="Arial" w:hAnsi="Arial" w:cs="Arial"/>
          <w:bCs/>
          <w:sz w:val="20"/>
          <w:szCs w:val="20"/>
        </w:rPr>
        <w:t xml:space="preserve">%) kuna </w:t>
      </w:r>
      <w:r w:rsidR="00994936">
        <w:rPr>
          <w:rFonts w:ascii="Arial" w:hAnsi="Arial" w:cs="Arial"/>
          <w:bCs/>
          <w:sz w:val="20"/>
          <w:szCs w:val="20"/>
        </w:rPr>
        <w:t>više</w:t>
      </w:r>
      <w:r w:rsidRPr="00B37EBB">
        <w:rPr>
          <w:rFonts w:ascii="Arial" w:hAnsi="Arial" w:cs="Arial"/>
          <w:bCs/>
          <w:sz w:val="20"/>
          <w:szCs w:val="20"/>
        </w:rPr>
        <w:t xml:space="preserve"> nego prethodne godine</w:t>
      </w:r>
      <w:r w:rsidR="00994936">
        <w:rPr>
          <w:rFonts w:ascii="Arial" w:hAnsi="Arial" w:cs="Arial"/>
          <w:bCs/>
          <w:sz w:val="20"/>
          <w:szCs w:val="20"/>
        </w:rPr>
        <w:t>, a 5% manje od predviđenih planom.</w:t>
      </w:r>
    </w:p>
    <w:p w14:paraId="68038030" w14:textId="2EAEA59D" w:rsidR="00EB5F45" w:rsidRPr="009B2A5B" w:rsidRDefault="00EB5F45" w:rsidP="009B2A5B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 w:rsidRPr="00906B08">
        <w:rPr>
          <w:rFonts w:ascii="Arial" w:hAnsi="Arial" w:cs="Arial"/>
          <w:b/>
          <w:i/>
          <w:sz w:val="18"/>
          <w:szCs w:val="18"/>
        </w:rPr>
        <w:lastRenderedPageBreak/>
        <w:t>Rashodi ustanova,</w:t>
      </w:r>
      <w:r w:rsidRPr="00776AF3">
        <w:rPr>
          <w:rFonts w:ascii="Arial" w:hAnsi="Arial" w:cs="Arial"/>
          <w:b/>
          <w:i/>
          <w:sz w:val="18"/>
          <w:szCs w:val="18"/>
        </w:rPr>
        <w:t xml:space="preserve"> korisnika</w:t>
      </w:r>
      <w:r w:rsidRPr="00544F23">
        <w:rPr>
          <w:rFonts w:ascii="Arial" w:hAnsi="Arial" w:cs="Arial"/>
          <w:b/>
          <w:i/>
          <w:sz w:val="18"/>
          <w:szCs w:val="18"/>
        </w:rPr>
        <w:t xml:space="preserve"> Proračuna su ostvareni kako slijedi:</w:t>
      </w:r>
    </w:p>
    <w:tbl>
      <w:tblPr>
        <w:tblW w:w="0" w:type="auto"/>
        <w:tblInd w:w="95" w:type="dxa"/>
        <w:tblLook w:val="00A0" w:firstRow="1" w:lastRow="0" w:firstColumn="1" w:lastColumn="0" w:noHBand="0" w:noVBand="0"/>
      </w:tblPr>
      <w:tblGrid>
        <w:gridCol w:w="2908"/>
        <w:gridCol w:w="1216"/>
        <w:gridCol w:w="1192"/>
        <w:gridCol w:w="255"/>
      </w:tblGrid>
      <w:tr w:rsidR="00EB5F45" w:rsidRPr="001A6164" w14:paraId="451CA0A7" w14:textId="77777777" w:rsidTr="001B2ED7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noWrap/>
            <w:vAlign w:val="center"/>
          </w:tcPr>
          <w:p w14:paraId="69598CFF" w14:textId="77777777" w:rsidR="00EB5F45" w:rsidRPr="001B2ED7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1B2ED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noWrap/>
            <w:vAlign w:val="center"/>
          </w:tcPr>
          <w:p w14:paraId="2B83117E" w14:textId="77777777" w:rsidR="00EB5F45" w:rsidRPr="001B2ED7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1B2ED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4D3DD" w:themeFill="text2" w:themeFillTint="33"/>
            <w:noWrap/>
            <w:vAlign w:val="center"/>
          </w:tcPr>
          <w:p w14:paraId="5E42D61B" w14:textId="77777777" w:rsidR="00EB5F45" w:rsidRPr="001B2ED7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1B2ED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OSTVARENJE</w:t>
            </w:r>
          </w:p>
        </w:tc>
      </w:tr>
      <w:tr w:rsidR="00EB5F45" w:rsidRPr="001A6164" w14:paraId="602D5351" w14:textId="77777777" w:rsidTr="001B2ED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BEE26" w14:textId="77777777" w:rsidR="00EB5F45" w:rsidRPr="00D54924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hr-HR"/>
              </w:rPr>
            </w:pPr>
            <w:r w:rsidRPr="00D54924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C0C95" w14:textId="4B20C871" w:rsidR="00EB5F45" w:rsidRPr="001A6164" w:rsidRDefault="003C042B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969.484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7B95CF" w14:textId="39B6869C" w:rsidR="00EB5F45" w:rsidRPr="001A6164" w:rsidRDefault="00523EF6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975.385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EC55" w14:textId="77777777" w:rsidR="00EB5F45" w:rsidRPr="001A6164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EB5F45" w:rsidRPr="001A6164" w14:paraId="6452C099" w14:textId="77777777" w:rsidTr="001B2ED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2D7B" w14:textId="77777777" w:rsidR="00EB5F45" w:rsidRPr="00D54924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hr-HR"/>
              </w:rPr>
            </w:pPr>
            <w:r w:rsidRPr="00D54924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A679" w14:textId="540880AF" w:rsidR="00EB5F45" w:rsidRPr="001A6164" w:rsidRDefault="00462B68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730.341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BA1AD2" w14:textId="730B5435" w:rsidR="00EB5F45" w:rsidRPr="001A6164" w:rsidRDefault="00462B68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725.543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399DF" w14:textId="77777777" w:rsidR="00EB5F45" w:rsidRPr="001A6164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EB5F45" w:rsidRPr="001A6164" w14:paraId="3399A881" w14:textId="77777777" w:rsidTr="001B2ED7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9D73" w14:textId="77777777" w:rsidR="00EB5F45" w:rsidRPr="00D54924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hr-HR"/>
              </w:rPr>
            </w:pPr>
            <w:r w:rsidRPr="00D54924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25E2" w14:textId="44DE6DCB" w:rsidR="00EB5F45" w:rsidRPr="001A6164" w:rsidRDefault="008429E9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4.058.944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363886" w14:textId="1581E6D1" w:rsidR="00EB5F45" w:rsidRPr="001A6164" w:rsidRDefault="006036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3.874.432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5C53" w14:textId="77777777" w:rsidR="00EB5F45" w:rsidRPr="001A6164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EB5F45" w:rsidRPr="001A6164" w14:paraId="4D0CEDFE" w14:textId="77777777" w:rsidTr="001B2ED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23A3A" w14:textId="77777777" w:rsidR="00EB5F45" w:rsidRPr="00D54924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hr-HR"/>
              </w:rPr>
            </w:pPr>
            <w:r w:rsidRPr="00D54924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82FD" w14:textId="3AF315A2" w:rsidR="00EB5F45" w:rsidRPr="001A6164" w:rsidRDefault="001D4614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1.129.362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50DD511" w14:textId="02DA4FF7" w:rsidR="00EB5F45" w:rsidRPr="001A6164" w:rsidRDefault="001D4614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1.053.406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3A6A4" w14:textId="77777777" w:rsidR="00EB5F45" w:rsidRPr="001A6164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EB5F45" w:rsidRPr="001A6164" w14:paraId="0C6623A7" w14:textId="77777777" w:rsidTr="001B2ED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1267" w14:textId="77777777" w:rsidR="00EB5F45" w:rsidRPr="004220E6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hr-HR"/>
              </w:rPr>
            </w:pPr>
            <w:r w:rsidRPr="004220E6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5A6D2" w14:textId="42E788B8" w:rsidR="00EB5F45" w:rsidRPr="001A6164" w:rsidRDefault="00D54924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2.046.872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CDC956" w14:textId="142AE1CA" w:rsidR="00EB5F45" w:rsidRPr="001A6164" w:rsidRDefault="00D54924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2.064.381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DC88" w14:textId="77777777" w:rsidR="00EB5F45" w:rsidRPr="001A6164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EB5F45" w:rsidRPr="00FE05BA" w14:paraId="756602D1" w14:textId="77777777" w:rsidTr="001B2ED7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noWrap/>
            <w:vAlign w:val="center"/>
          </w:tcPr>
          <w:p w14:paraId="457273C4" w14:textId="594D413E" w:rsidR="00EB5F45" w:rsidRPr="001B2ED7" w:rsidRDefault="001B2ED7" w:rsidP="001B2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noWrap/>
            <w:vAlign w:val="center"/>
          </w:tcPr>
          <w:p w14:paraId="52D00596" w14:textId="619CED6F" w:rsidR="00EB5F45" w:rsidRPr="00C9143C" w:rsidRDefault="00D54924" w:rsidP="004774E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8.935.003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D3DD" w:themeFill="text2" w:themeFillTint="33"/>
            <w:noWrap/>
            <w:vAlign w:val="center"/>
          </w:tcPr>
          <w:p w14:paraId="11732E1A" w14:textId="63182E76" w:rsidR="00EB5F45" w:rsidRPr="00C9143C" w:rsidRDefault="00D54924" w:rsidP="007827E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8.693.147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noWrap/>
            <w:vAlign w:val="center"/>
          </w:tcPr>
          <w:p w14:paraId="0ABC506C" w14:textId="77777777" w:rsidR="00EB5F45" w:rsidRPr="00FE05BA" w:rsidRDefault="00EB5F45" w:rsidP="007827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</w:tbl>
    <w:p w14:paraId="658705FB" w14:textId="07C81C64" w:rsidR="00EB5F45" w:rsidRDefault="00EB5F45" w:rsidP="00EB5F45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22F5DAFB" w14:textId="77777777" w:rsidR="00CD44B8" w:rsidRDefault="00CD44B8" w:rsidP="00EB5F45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21D69C28" w14:textId="4B3CECD8" w:rsidR="00B6491C" w:rsidRPr="000A03EE" w:rsidRDefault="008C7774" w:rsidP="00E43486">
      <w:pPr>
        <w:ind w:right="57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66C650C" wp14:editId="0BC70F19">
            <wp:extent cx="5668672" cy="3339465"/>
            <wp:effectExtent l="0" t="0" r="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3176A9" w14:textId="69B2389B" w:rsidR="00E43486" w:rsidRPr="00906B08" w:rsidRDefault="00262333" w:rsidP="00E43486">
      <w:pPr>
        <w:ind w:right="57"/>
        <w:jc w:val="both"/>
        <w:rPr>
          <w:rFonts w:ascii="Arial" w:hAnsi="Arial" w:cs="Arial"/>
          <w:sz w:val="20"/>
          <w:szCs w:val="20"/>
        </w:rPr>
      </w:pPr>
      <w:r w:rsidRPr="00262333">
        <w:rPr>
          <w:rFonts w:ascii="Arial" w:hAnsi="Arial" w:cs="Arial"/>
          <w:sz w:val="18"/>
          <w:szCs w:val="18"/>
          <w:u w:val="single"/>
        </w:rPr>
        <w:lastRenderedPageBreak/>
        <w:t xml:space="preserve">  </w:t>
      </w:r>
      <w:r w:rsidR="00E43486" w:rsidRPr="00906B08">
        <w:rPr>
          <w:rFonts w:ascii="Arial" w:hAnsi="Arial" w:cs="Arial"/>
          <w:b/>
          <w:sz w:val="20"/>
          <w:szCs w:val="20"/>
          <w:u w:val="single"/>
        </w:rPr>
        <w:t>R</w:t>
      </w:r>
      <w:r w:rsidR="00E43486" w:rsidRPr="00906B08">
        <w:rPr>
          <w:rFonts w:ascii="Arial" w:hAnsi="Arial" w:cs="Arial"/>
          <w:b/>
          <w:bCs/>
          <w:sz w:val="20"/>
          <w:szCs w:val="20"/>
          <w:u w:val="single"/>
        </w:rPr>
        <w:t>ashodi poslovanja</w:t>
      </w:r>
      <w:r w:rsidR="00E43486" w:rsidRPr="00906B08">
        <w:rPr>
          <w:rFonts w:ascii="Arial" w:hAnsi="Arial" w:cs="Arial"/>
          <w:sz w:val="20"/>
          <w:szCs w:val="20"/>
        </w:rPr>
        <w:t xml:space="preserve"> </w:t>
      </w:r>
      <w:r w:rsidR="00E43486" w:rsidRPr="00906B08">
        <w:rPr>
          <w:rFonts w:ascii="Arial" w:hAnsi="Arial" w:cs="Arial"/>
          <w:b/>
          <w:sz w:val="20"/>
          <w:szCs w:val="20"/>
        </w:rPr>
        <w:t xml:space="preserve">(razred 3) </w:t>
      </w:r>
      <w:r w:rsidR="00E43486" w:rsidRPr="00906B08">
        <w:rPr>
          <w:rFonts w:ascii="Arial" w:hAnsi="Arial" w:cs="Arial"/>
          <w:sz w:val="20"/>
          <w:szCs w:val="20"/>
        </w:rPr>
        <w:t xml:space="preserve">izvršeni su u iznosu od </w:t>
      </w:r>
      <w:r w:rsidR="001170A8" w:rsidRPr="00906B08">
        <w:rPr>
          <w:rFonts w:ascii="Arial" w:hAnsi="Arial" w:cs="Arial"/>
          <w:b/>
          <w:bCs/>
          <w:sz w:val="20"/>
          <w:szCs w:val="20"/>
        </w:rPr>
        <w:t>24.988.070</w:t>
      </w:r>
      <w:r w:rsidR="00DF64A8" w:rsidRPr="00906B08">
        <w:rPr>
          <w:rFonts w:ascii="Arial" w:hAnsi="Arial" w:cs="Arial"/>
          <w:b/>
          <w:sz w:val="20"/>
          <w:szCs w:val="20"/>
        </w:rPr>
        <w:t xml:space="preserve"> </w:t>
      </w:r>
      <w:r w:rsidR="00DF64A8" w:rsidRPr="00906B08">
        <w:rPr>
          <w:rFonts w:ascii="Arial" w:hAnsi="Arial" w:cs="Arial"/>
          <w:sz w:val="20"/>
          <w:szCs w:val="20"/>
        </w:rPr>
        <w:t>kn</w:t>
      </w:r>
      <w:r w:rsidR="00E43486" w:rsidRPr="00906B08">
        <w:rPr>
          <w:rFonts w:ascii="Arial" w:hAnsi="Arial" w:cs="Arial"/>
          <w:sz w:val="20"/>
          <w:szCs w:val="20"/>
        </w:rPr>
        <w:t xml:space="preserve"> ili </w:t>
      </w:r>
      <w:r w:rsidR="001170A8" w:rsidRPr="00906B08">
        <w:rPr>
          <w:rFonts w:ascii="Arial" w:hAnsi="Arial" w:cs="Arial"/>
          <w:sz w:val="20"/>
          <w:szCs w:val="20"/>
        </w:rPr>
        <w:t>29</w:t>
      </w:r>
      <w:r w:rsidR="00E43486" w:rsidRPr="00906B08">
        <w:rPr>
          <w:rFonts w:ascii="Arial" w:hAnsi="Arial" w:cs="Arial"/>
          <w:sz w:val="20"/>
          <w:szCs w:val="20"/>
        </w:rPr>
        <w:t>%</w:t>
      </w:r>
      <w:r w:rsidR="004D0158" w:rsidRPr="00906B08">
        <w:rPr>
          <w:rFonts w:ascii="Arial" w:hAnsi="Arial" w:cs="Arial"/>
          <w:sz w:val="20"/>
          <w:szCs w:val="20"/>
        </w:rPr>
        <w:t xml:space="preserve"> (</w:t>
      </w:r>
      <w:r w:rsidR="001170A8" w:rsidRPr="00906B08">
        <w:rPr>
          <w:rFonts w:ascii="Arial" w:hAnsi="Arial" w:cs="Arial"/>
          <w:sz w:val="20"/>
          <w:szCs w:val="20"/>
        </w:rPr>
        <w:t>5.679.756</w:t>
      </w:r>
      <w:r w:rsidR="004D0158" w:rsidRPr="00906B08">
        <w:rPr>
          <w:rFonts w:ascii="Arial" w:hAnsi="Arial" w:cs="Arial"/>
          <w:sz w:val="20"/>
          <w:szCs w:val="20"/>
        </w:rPr>
        <w:t xml:space="preserve"> kn)</w:t>
      </w:r>
      <w:r w:rsidR="00E43486" w:rsidRPr="00906B08">
        <w:rPr>
          <w:rFonts w:ascii="Arial" w:hAnsi="Arial" w:cs="Arial"/>
          <w:sz w:val="20"/>
          <w:szCs w:val="20"/>
        </w:rPr>
        <w:t xml:space="preserve"> </w:t>
      </w:r>
      <w:r w:rsidR="001170A8" w:rsidRPr="00906B08">
        <w:rPr>
          <w:rFonts w:ascii="Arial" w:hAnsi="Arial" w:cs="Arial"/>
          <w:sz w:val="20"/>
          <w:szCs w:val="20"/>
        </w:rPr>
        <w:t>više</w:t>
      </w:r>
      <w:r w:rsidR="00E43486" w:rsidRPr="00906B08">
        <w:rPr>
          <w:rFonts w:ascii="Arial" w:hAnsi="Arial" w:cs="Arial"/>
          <w:sz w:val="20"/>
          <w:szCs w:val="20"/>
        </w:rPr>
        <w:t xml:space="preserve"> nego prethodne godine.</w:t>
      </w:r>
    </w:p>
    <w:p w14:paraId="21A1F9DA" w14:textId="565D6043" w:rsidR="00E43486" w:rsidRPr="00906B08" w:rsidRDefault="00E43486" w:rsidP="00186FE1">
      <w:pPr>
        <w:ind w:right="-108" w:firstLine="708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Rashodi za zaposlene (skupina 31)</w:t>
      </w:r>
      <w:r w:rsidRPr="00906B08">
        <w:rPr>
          <w:rFonts w:ascii="Arial" w:hAnsi="Arial" w:cs="Arial"/>
          <w:sz w:val="20"/>
          <w:szCs w:val="20"/>
        </w:rPr>
        <w:t xml:space="preserve"> iznose </w:t>
      </w:r>
      <w:r w:rsidR="00186FE1" w:rsidRPr="00906B08">
        <w:rPr>
          <w:rFonts w:ascii="Arial" w:hAnsi="Arial" w:cs="Arial"/>
          <w:b/>
          <w:bCs/>
          <w:sz w:val="20"/>
          <w:szCs w:val="20"/>
        </w:rPr>
        <w:t>8.645.556</w:t>
      </w:r>
      <w:r w:rsidR="00721173" w:rsidRPr="00906B08">
        <w:rPr>
          <w:rFonts w:ascii="Arial" w:hAnsi="Arial" w:cs="Arial"/>
          <w:sz w:val="20"/>
          <w:szCs w:val="20"/>
        </w:rPr>
        <w:t xml:space="preserve"> kn</w:t>
      </w:r>
      <w:r w:rsidR="00186FE1" w:rsidRPr="00906B08">
        <w:rPr>
          <w:rFonts w:ascii="Arial" w:hAnsi="Arial" w:cs="Arial"/>
          <w:sz w:val="20"/>
          <w:szCs w:val="20"/>
        </w:rPr>
        <w:t xml:space="preserve"> i veći</w:t>
      </w:r>
      <w:r w:rsidRPr="00906B08">
        <w:rPr>
          <w:rFonts w:ascii="Arial" w:hAnsi="Arial" w:cs="Arial"/>
          <w:sz w:val="20"/>
          <w:szCs w:val="20"/>
        </w:rPr>
        <w:t xml:space="preserve"> su za </w:t>
      </w:r>
      <w:r w:rsidR="00186FE1" w:rsidRPr="00906B08">
        <w:rPr>
          <w:rFonts w:ascii="Arial" w:hAnsi="Arial" w:cs="Arial"/>
          <w:sz w:val="20"/>
          <w:szCs w:val="20"/>
        </w:rPr>
        <w:t>17</w:t>
      </w:r>
      <w:r w:rsidRPr="00906B08">
        <w:rPr>
          <w:rFonts w:ascii="Arial" w:hAnsi="Arial" w:cs="Arial"/>
          <w:sz w:val="20"/>
          <w:szCs w:val="20"/>
        </w:rPr>
        <w:t xml:space="preserve">% (ili </w:t>
      </w:r>
      <w:r w:rsidR="00186FE1" w:rsidRPr="00906B08">
        <w:rPr>
          <w:rFonts w:ascii="Arial" w:hAnsi="Arial" w:cs="Arial"/>
          <w:sz w:val="20"/>
          <w:szCs w:val="20"/>
        </w:rPr>
        <w:t>1.278.022</w:t>
      </w:r>
      <w:r w:rsidR="00721173" w:rsidRPr="00906B08">
        <w:rPr>
          <w:rFonts w:ascii="Arial" w:hAnsi="Arial" w:cs="Arial"/>
          <w:sz w:val="20"/>
          <w:szCs w:val="20"/>
        </w:rPr>
        <w:t xml:space="preserve"> kn)</w:t>
      </w:r>
      <w:r w:rsidR="00C90B69" w:rsidRPr="00906B08">
        <w:rPr>
          <w:rFonts w:ascii="Arial" w:hAnsi="Arial" w:cs="Arial"/>
          <w:sz w:val="20"/>
          <w:szCs w:val="20"/>
        </w:rPr>
        <w:t xml:space="preserve"> u odnosu na 20</w:t>
      </w:r>
      <w:r w:rsidR="00186FE1" w:rsidRPr="00906B08">
        <w:rPr>
          <w:rFonts w:ascii="Arial" w:hAnsi="Arial" w:cs="Arial"/>
          <w:sz w:val="20"/>
          <w:szCs w:val="20"/>
        </w:rPr>
        <w:t>20</w:t>
      </w:r>
      <w:r w:rsidRPr="00906B08">
        <w:rPr>
          <w:rFonts w:ascii="Arial" w:hAnsi="Arial" w:cs="Arial"/>
          <w:sz w:val="20"/>
          <w:szCs w:val="20"/>
        </w:rPr>
        <w:t xml:space="preserve">. godinu. </w:t>
      </w:r>
      <w:r w:rsidR="00186FE1" w:rsidRPr="00906B08">
        <w:rPr>
          <w:rFonts w:ascii="Arial" w:hAnsi="Arial" w:cs="Arial"/>
          <w:sz w:val="20"/>
          <w:szCs w:val="20"/>
        </w:rPr>
        <w:t xml:space="preserve">Povećanje rashoda </w:t>
      </w:r>
      <w:r w:rsidR="00A5225E" w:rsidRPr="00906B08">
        <w:rPr>
          <w:rFonts w:ascii="Arial" w:hAnsi="Arial" w:cs="Arial"/>
          <w:sz w:val="20"/>
          <w:szCs w:val="20"/>
        </w:rPr>
        <w:t>rezult</w:t>
      </w:r>
      <w:r w:rsidR="00186FE1" w:rsidRPr="00906B08">
        <w:rPr>
          <w:rFonts w:ascii="Arial" w:hAnsi="Arial" w:cs="Arial"/>
          <w:sz w:val="20"/>
          <w:szCs w:val="20"/>
        </w:rPr>
        <w:t>at je vraćanja osnovice za obračun plaća od 10%</w:t>
      </w:r>
      <w:r w:rsidR="007050B6" w:rsidRPr="00906B08">
        <w:rPr>
          <w:rFonts w:ascii="Arial" w:hAnsi="Arial" w:cs="Arial"/>
          <w:sz w:val="20"/>
          <w:szCs w:val="20"/>
        </w:rPr>
        <w:t xml:space="preserve"> svim službenicima i namještenicima Gradske uprave i Ustanova</w:t>
      </w:r>
      <w:r w:rsidR="00186FE1" w:rsidRPr="00906B08">
        <w:rPr>
          <w:rFonts w:ascii="Arial" w:hAnsi="Arial" w:cs="Arial"/>
          <w:sz w:val="20"/>
          <w:szCs w:val="20"/>
        </w:rPr>
        <w:t>, koj</w:t>
      </w:r>
      <w:r w:rsidR="005F53C2">
        <w:rPr>
          <w:rFonts w:ascii="Arial" w:hAnsi="Arial" w:cs="Arial"/>
          <w:sz w:val="20"/>
          <w:szCs w:val="20"/>
        </w:rPr>
        <w:t>a</w:t>
      </w:r>
      <w:r w:rsidR="00186FE1" w:rsidRPr="00906B08">
        <w:rPr>
          <w:rFonts w:ascii="Arial" w:hAnsi="Arial" w:cs="Arial"/>
          <w:sz w:val="20"/>
          <w:szCs w:val="20"/>
        </w:rPr>
        <w:t xml:space="preserve"> je u prethodnom razdoblju bila smanjena, </w:t>
      </w:r>
      <w:r w:rsidR="000714CC" w:rsidRPr="00906B08">
        <w:rPr>
          <w:rFonts w:ascii="Arial" w:hAnsi="Arial" w:cs="Arial"/>
          <w:sz w:val="20"/>
          <w:szCs w:val="20"/>
        </w:rPr>
        <w:t>sukladno</w:t>
      </w:r>
      <w:r w:rsidRPr="00906B08">
        <w:rPr>
          <w:rFonts w:ascii="Arial" w:hAnsi="Arial" w:cs="Arial"/>
          <w:sz w:val="20"/>
          <w:szCs w:val="20"/>
        </w:rPr>
        <w:t xml:space="preserve"> </w:t>
      </w:r>
      <w:r w:rsidR="00402E09" w:rsidRPr="00906B08">
        <w:rPr>
          <w:rFonts w:ascii="Arial" w:hAnsi="Arial" w:cs="Arial"/>
          <w:sz w:val="20"/>
          <w:szCs w:val="20"/>
          <w:lang w:eastAsia="hr-HR"/>
        </w:rPr>
        <w:t>Program</w:t>
      </w:r>
      <w:r w:rsidR="00023268" w:rsidRPr="00906B08">
        <w:rPr>
          <w:rFonts w:ascii="Arial" w:hAnsi="Arial" w:cs="Arial"/>
          <w:sz w:val="20"/>
          <w:szCs w:val="20"/>
          <w:lang w:eastAsia="hr-HR"/>
        </w:rPr>
        <w:t>u</w:t>
      </w:r>
      <w:r w:rsidR="00402E09" w:rsidRPr="00906B08">
        <w:rPr>
          <w:rFonts w:ascii="Arial" w:hAnsi="Arial" w:cs="Arial"/>
          <w:sz w:val="20"/>
          <w:szCs w:val="20"/>
          <w:lang w:eastAsia="hr-HR"/>
        </w:rPr>
        <w:t xml:space="preserve"> mjera i aktivnosti za pomoć gospodarstvu i građanstvu zbog posljedica epidemije</w:t>
      </w:r>
      <w:r w:rsidR="000714CC" w:rsidRPr="00906B08">
        <w:rPr>
          <w:rFonts w:ascii="Arial" w:hAnsi="Arial" w:cs="Arial"/>
          <w:sz w:val="20"/>
          <w:szCs w:val="20"/>
          <w:lang w:eastAsia="hr-HR"/>
        </w:rPr>
        <w:t>.</w:t>
      </w:r>
      <w:r w:rsidR="007050B6" w:rsidRPr="00906B08">
        <w:rPr>
          <w:rFonts w:ascii="Arial" w:hAnsi="Arial" w:cs="Arial"/>
          <w:sz w:val="20"/>
          <w:szCs w:val="20"/>
          <w:lang w:eastAsia="hr-HR"/>
        </w:rPr>
        <w:t xml:space="preserve"> Rashodi za djelatnike Javnih radova u ovom su razdoblju izvršeni</w:t>
      </w:r>
      <w:r w:rsidR="00ED5388" w:rsidRPr="00906B08">
        <w:rPr>
          <w:rFonts w:ascii="Arial" w:hAnsi="Arial" w:cs="Arial"/>
          <w:sz w:val="20"/>
          <w:szCs w:val="20"/>
          <w:lang w:eastAsia="hr-HR"/>
        </w:rPr>
        <w:t xml:space="preserve"> u iznosu od 239.305 kn</w:t>
      </w:r>
      <w:r w:rsidR="007050B6" w:rsidRPr="00906B08">
        <w:rPr>
          <w:rFonts w:ascii="Arial" w:hAnsi="Arial" w:cs="Arial"/>
          <w:sz w:val="20"/>
          <w:szCs w:val="20"/>
          <w:lang w:eastAsia="hr-HR"/>
        </w:rPr>
        <w:t>, dok ih u prethodnom nije bilo.</w:t>
      </w:r>
    </w:p>
    <w:p w14:paraId="2D440812" w14:textId="58451D61" w:rsidR="00CA7C48" w:rsidRPr="00906B08" w:rsidRDefault="00B87396" w:rsidP="00CA7C4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             </w:t>
      </w:r>
      <w:r w:rsidR="00E43486" w:rsidRPr="00906B08">
        <w:rPr>
          <w:rFonts w:ascii="Arial" w:hAnsi="Arial" w:cs="Arial"/>
          <w:b/>
          <w:bCs/>
          <w:sz w:val="20"/>
          <w:szCs w:val="20"/>
        </w:rPr>
        <w:t>Materijalni rashodi (skupina 32)</w:t>
      </w:r>
      <w:r w:rsidR="00E43486" w:rsidRPr="00906B08">
        <w:rPr>
          <w:rFonts w:ascii="Arial" w:hAnsi="Arial" w:cs="Arial"/>
          <w:sz w:val="20"/>
          <w:szCs w:val="20"/>
        </w:rPr>
        <w:t xml:space="preserve"> iznose </w:t>
      </w:r>
      <w:r w:rsidR="00323BEA" w:rsidRPr="00906B08">
        <w:rPr>
          <w:rFonts w:ascii="Arial" w:hAnsi="Arial" w:cs="Arial"/>
          <w:b/>
          <w:bCs/>
          <w:sz w:val="20"/>
          <w:szCs w:val="20"/>
        </w:rPr>
        <w:t>9.995.952</w:t>
      </w:r>
      <w:r w:rsidR="00B9007B" w:rsidRPr="00906B08">
        <w:rPr>
          <w:rFonts w:ascii="Arial" w:hAnsi="Arial" w:cs="Arial"/>
          <w:sz w:val="20"/>
          <w:szCs w:val="20"/>
        </w:rPr>
        <w:t xml:space="preserve"> kn</w:t>
      </w:r>
      <w:r w:rsidR="00ED0733" w:rsidRPr="00906B08">
        <w:rPr>
          <w:rFonts w:ascii="Arial" w:hAnsi="Arial" w:cs="Arial"/>
          <w:sz w:val="20"/>
          <w:szCs w:val="20"/>
        </w:rPr>
        <w:t xml:space="preserve"> što je </w:t>
      </w:r>
      <w:r w:rsidR="00323BEA" w:rsidRPr="00906B08">
        <w:rPr>
          <w:rFonts w:ascii="Arial" w:hAnsi="Arial" w:cs="Arial"/>
          <w:sz w:val="20"/>
          <w:szCs w:val="20"/>
        </w:rPr>
        <w:t>5</w:t>
      </w:r>
      <w:r w:rsidR="00865F55" w:rsidRPr="00906B08">
        <w:rPr>
          <w:rFonts w:ascii="Arial" w:hAnsi="Arial" w:cs="Arial"/>
          <w:sz w:val="20"/>
          <w:szCs w:val="20"/>
        </w:rPr>
        <w:t>8</w:t>
      </w:r>
      <w:r w:rsidR="00E43486" w:rsidRPr="00906B08">
        <w:rPr>
          <w:rFonts w:ascii="Arial" w:hAnsi="Arial" w:cs="Arial"/>
          <w:sz w:val="20"/>
          <w:szCs w:val="20"/>
        </w:rPr>
        <w:t>%</w:t>
      </w:r>
      <w:r w:rsidR="00323BEA" w:rsidRPr="00906B08">
        <w:rPr>
          <w:rFonts w:ascii="Arial" w:hAnsi="Arial" w:cs="Arial"/>
          <w:sz w:val="20"/>
          <w:szCs w:val="20"/>
        </w:rPr>
        <w:t xml:space="preserve"> </w:t>
      </w:r>
      <w:r w:rsidR="00E43486" w:rsidRPr="00906B08">
        <w:rPr>
          <w:rFonts w:ascii="Arial" w:hAnsi="Arial" w:cs="Arial"/>
          <w:sz w:val="20"/>
          <w:szCs w:val="20"/>
        </w:rPr>
        <w:t xml:space="preserve">(ili </w:t>
      </w:r>
      <w:r w:rsidR="009B255A" w:rsidRPr="00906B08">
        <w:rPr>
          <w:rFonts w:ascii="Arial" w:hAnsi="Arial" w:cs="Arial"/>
          <w:sz w:val="20"/>
          <w:szCs w:val="20"/>
        </w:rPr>
        <w:t>3.</w:t>
      </w:r>
      <w:r w:rsidR="00CA7C48" w:rsidRPr="00906B08">
        <w:rPr>
          <w:rFonts w:ascii="Arial" w:hAnsi="Arial" w:cs="Arial"/>
          <w:sz w:val="20"/>
          <w:szCs w:val="20"/>
        </w:rPr>
        <w:t>677.353</w:t>
      </w:r>
      <w:r w:rsidR="00B9007B" w:rsidRPr="00906B08">
        <w:rPr>
          <w:rFonts w:ascii="Arial" w:hAnsi="Arial" w:cs="Arial"/>
          <w:sz w:val="20"/>
          <w:szCs w:val="20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</w:rPr>
        <w:t xml:space="preserve">) </w:t>
      </w:r>
      <w:r w:rsidR="00323BEA" w:rsidRPr="00906B08">
        <w:rPr>
          <w:rFonts w:ascii="Arial" w:hAnsi="Arial" w:cs="Arial"/>
          <w:sz w:val="20"/>
          <w:szCs w:val="20"/>
        </w:rPr>
        <w:t>više</w:t>
      </w:r>
      <w:r w:rsidR="00B9007B" w:rsidRPr="00906B08">
        <w:rPr>
          <w:rFonts w:ascii="Arial" w:hAnsi="Arial" w:cs="Arial"/>
          <w:sz w:val="20"/>
          <w:szCs w:val="20"/>
        </w:rPr>
        <w:t xml:space="preserve"> nego prethodne godine.</w:t>
      </w:r>
      <w:r w:rsidR="00A17EFE" w:rsidRPr="00906B08">
        <w:rPr>
          <w:rFonts w:ascii="Arial" w:hAnsi="Arial" w:cs="Arial"/>
          <w:sz w:val="20"/>
          <w:szCs w:val="20"/>
        </w:rPr>
        <w:t xml:space="preserve"> Najveće </w:t>
      </w:r>
      <w:r w:rsidR="00CA7C48" w:rsidRPr="00906B08">
        <w:rPr>
          <w:rFonts w:ascii="Arial" w:hAnsi="Arial" w:cs="Arial"/>
          <w:sz w:val="20"/>
          <w:szCs w:val="20"/>
        </w:rPr>
        <w:t>povećanje</w:t>
      </w:r>
      <w:r w:rsidR="00A17EFE" w:rsidRPr="00906B08">
        <w:rPr>
          <w:rFonts w:ascii="Arial" w:hAnsi="Arial" w:cs="Arial"/>
          <w:sz w:val="20"/>
          <w:szCs w:val="20"/>
        </w:rPr>
        <w:t xml:space="preserve"> skupine evidentno je u podskupini rashoda za usluge, koji su</w:t>
      </w:r>
      <w:r w:rsidR="00CA7C48" w:rsidRPr="00906B08">
        <w:rPr>
          <w:rFonts w:ascii="Arial" w:hAnsi="Arial" w:cs="Arial"/>
          <w:sz w:val="20"/>
          <w:szCs w:val="20"/>
        </w:rPr>
        <w:t xml:space="preserve"> veći </w:t>
      </w:r>
      <w:r w:rsidR="00A17EFE" w:rsidRPr="00906B08">
        <w:rPr>
          <w:rFonts w:ascii="Arial" w:hAnsi="Arial" w:cs="Arial"/>
          <w:sz w:val="20"/>
          <w:szCs w:val="20"/>
        </w:rPr>
        <w:t>za 2.</w:t>
      </w:r>
      <w:r w:rsidR="00CA7C48" w:rsidRPr="00906B08">
        <w:rPr>
          <w:rFonts w:ascii="Arial" w:hAnsi="Arial" w:cs="Arial"/>
          <w:sz w:val="20"/>
          <w:szCs w:val="20"/>
        </w:rPr>
        <w:t>700.814</w:t>
      </w:r>
      <w:r w:rsidR="00A17EFE" w:rsidRPr="00906B08">
        <w:rPr>
          <w:rFonts w:ascii="Arial" w:hAnsi="Arial" w:cs="Arial"/>
          <w:sz w:val="20"/>
          <w:szCs w:val="20"/>
        </w:rPr>
        <w:t xml:space="preserve"> kn i to u najvećem dijelu</w:t>
      </w:r>
      <w:r w:rsidR="00CA7C48" w:rsidRPr="00906B08">
        <w:rPr>
          <w:rFonts w:ascii="Arial" w:hAnsi="Arial" w:cs="Arial"/>
          <w:sz w:val="20"/>
          <w:szCs w:val="20"/>
        </w:rPr>
        <w:t xml:space="preserve"> u rashodima za materijal i dijelove</w:t>
      </w:r>
      <w:r w:rsidR="00D93723" w:rsidRPr="00906B08">
        <w:rPr>
          <w:rFonts w:ascii="Arial" w:hAnsi="Arial" w:cs="Arial"/>
          <w:sz w:val="20"/>
          <w:szCs w:val="20"/>
        </w:rPr>
        <w:t>,</w:t>
      </w:r>
      <w:r w:rsidR="00CA7C48" w:rsidRPr="00906B08">
        <w:rPr>
          <w:rFonts w:ascii="Arial" w:hAnsi="Arial" w:cs="Arial"/>
          <w:sz w:val="20"/>
          <w:szCs w:val="20"/>
        </w:rPr>
        <w:t xml:space="preserve"> te usluge tekućeg i investicijskog održavanja. Intelektualne i osobne usluge veće su za 369.541 kn pretežito radi održavanja  koncerata tokom ljetne sezone kojih u prethodnom razdoblju nije bilo. Ostale usluge veće su za 218.837 kn, reprezentacija za 45.991 kn, naknade za rad predstavničkih i izvršnih tijela 106.301 kn, pristojbe i naknade 126.203 kn, ostali nespomenuti rashodi 93.634 kn. Svi navedeni rashodi veći su zbog smanjenja utjecaja krize epidemije koronavirusa</w:t>
      </w:r>
      <w:r w:rsidR="00585F2F" w:rsidRPr="00906B08">
        <w:rPr>
          <w:rFonts w:ascii="Arial" w:hAnsi="Arial" w:cs="Arial"/>
          <w:sz w:val="20"/>
          <w:szCs w:val="20"/>
        </w:rPr>
        <w:t>,</w:t>
      </w:r>
      <w:r w:rsidR="00CA7C48" w:rsidRPr="00906B08">
        <w:rPr>
          <w:rFonts w:ascii="Arial" w:hAnsi="Arial" w:cs="Arial"/>
          <w:sz w:val="20"/>
          <w:szCs w:val="20"/>
        </w:rPr>
        <w:t xml:space="preserve"> te promjena u gospodarskim kretanjima, a samim tim i manjeg ograničenja fiskalnog potencijala Proračuna Grada, koji je za posljedicu imao povećanje planiranih rashoda poslovanja gotovo po svim stavkama Proračuna. </w:t>
      </w:r>
    </w:p>
    <w:p w14:paraId="7E4EB459" w14:textId="7C26156D" w:rsidR="00E43486" w:rsidRPr="00906B08" w:rsidRDefault="00970F9D" w:rsidP="001A68CE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6B08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43486" w:rsidRPr="00906B08">
        <w:rPr>
          <w:rFonts w:ascii="Arial" w:hAnsi="Arial" w:cs="Arial"/>
          <w:b/>
          <w:bCs/>
          <w:sz w:val="20"/>
          <w:szCs w:val="20"/>
        </w:rPr>
        <w:t>Financijski rashodi (skupina 34)</w:t>
      </w:r>
      <w:r w:rsidR="00E43486" w:rsidRPr="00906B08">
        <w:rPr>
          <w:rFonts w:ascii="Arial" w:hAnsi="Arial" w:cs="Arial"/>
          <w:sz w:val="20"/>
          <w:szCs w:val="20"/>
        </w:rPr>
        <w:t xml:space="preserve"> iznose </w:t>
      </w:r>
      <w:r w:rsidR="002B06F3" w:rsidRPr="00906B08">
        <w:rPr>
          <w:rFonts w:ascii="Arial" w:hAnsi="Arial" w:cs="Arial"/>
          <w:b/>
          <w:bCs/>
          <w:sz w:val="20"/>
          <w:szCs w:val="20"/>
        </w:rPr>
        <w:t>300.624</w:t>
      </w:r>
      <w:r w:rsidR="00BD0A4C" w:rsidRPr="00906B08">
        <w:rPr>
          <w:rFonts w:ascii="Arial" w:hAnsi="Arial" w:cs="Arial"/>
          <w:sz w:val="20"/>
          <w:szCs w:val="20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</w:rPr>
        <w:t xml:space="preserve"> i za </w:t>
      </w:r>
      <w:r w:rsidR="002B06F3" w:rsidRPr="00906B08">
        <w:rPr>
          <w:rFonts w:ascii="Arial" w:hAnsi="Arial" w:cs="Arial"/>
          <w:sz w:val="20"/>
          <w:szCs w:val="20"/>
        </w:rPr>
        <w:t>34</w:t>
      </w:r>
      <w:r w:rsidR="00E43486" w:rsidRPr="00906B08">
        <w:rPr>
          <w:rFonts w:ascii="Arial" w:hAnsi="Arial" w:cs="Arial"/>
          <w:sz w:val="20"/>
          <w:szCs w:val="20"/>
        </w:rPr>
        <w:t xml:space="preserve">% (ili </w:t>
      </w:r>
      <w:r w:rsidR="002B06F3" w:rsidRPr="00906B08">
        <w:rPr>
          <w:rFonts w:ascii="Arial" w:hAnsi="Arial" w:cs="Arial"/>
          <w:sz w:val="20"/>
          <w:szCs w:val="20"/>
        </w:rPr>
        <w:t>75.562</w:t>
      </w:r>
      <w:r w:rsidR="00BD0A4C" w:rsidRPr="00906B08">
        <w:rPr>
          <w:rFonts w:ascii="Arial" w:hAnsi="Arial" w:cs="Arial"/>
          <w:sz w:val="20"/>
          <w:szCs w:val="20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</w:rPr>
        <w:t xml:space="preserve">) su </w:t>
      </w:r>
      <w:r w:rsidR="00304368" w:rsidRPr="00906B08">
        <w:rPr>
          <w:rFonts w:ascii="Arial" w:hAnsi="Arial" w:cs="Arial"/>
          <w:sz w:val="20"/>
          <w:szCs w:val="20"/>
        </w:rPr>
        <w:t>već</w:t>
      </w:r>
      <w:r w:rsidR="00BD0A4C" w:rsidRPr="00906B08">
        <w:rPr>
          <w:rFonts w:ascii="Arial" w:hAnsi="Arial" w:cs="Arial"/>
          <w:sz w:val="20"/>
          <w:szCs w:val="20"/>
        </w:rPr>
        <w:t>i</w:t>
      </w:r>
      <w:r w:rsidR="00E43486" w:rsidRPr="00906B08">
        <w:rPr>
          <w:rFonts w:ascii="Arial" w:hAnsi="Arial" w:cs="Arial"/>
          <w:sz w:val="20"/>
          <w:szCs w:val="20"/>
        </w:rPr>
        <w:t xml:space="preserve"> nego prethodne godine</w:t>
      </w:r>
      <w:r w:rsidR="00DD1E95" w:rsidRPr="00906B08">
        <w:rPr>
          <w:rFonts w:ascii="Arial" w:hAnsi="Arial" w:cs="Arial"/>
          <w:sz w:val="20"/>
          <w:szCs w:val="20"/>
        </w:rPr>
        <w:t>. O</w:t>
      </w:r>
      <w:r w:rsidR="00E43486" w:rsidRPr="00906B08">
        <w:rPr>
          <w:rFonts w:ascii="Arial" w:hAnsi="Arial" w:cs="Arial"/>
          <w:sz w:val="20"/>
          <w:szCs w:val="20"/>
        </w:rPr>
        <w:t>dnose</w:t>
      </w:r>
      <w:r w:rsidR="00A370C4">
        <w:rPr>
          <w:rFonts w:ascii="Arial" w:hAnsi="Arial" w:cs="Arial"/>
          <w:sz w:val="20"/>
          <w:szCs w:val="20"/>
        </w:rPr>
        <w:t xml:space="preserve"> se</w:t>
      </w:r>
      <w:r w:rsidR="00E43486" w:rsidRPr="00906B08">
        <w:rPr>
          <w:rFonts w:ascii="Arial" w:hAnsi="Arial" w:cs="Arial"/>
          <w:sz w:val="20"/>
          <w:szCs w:val="20"/>
        </w:rPr>
        <w:t xml:space="preserve"> na </w:t>
      </w:r>
      <w:r w:rsidR="001A68CE" w:rsidRPr="00906B08">
        <w:rPr>
          <w:rFonts w:ascii="Arial" w:hAnsi="Arial" w:cs="Arial"/>
          <w:sz w:val="20"/>
          <w:szCs w:val="20"/>
        </w:rPr>
        <w:t xml:space="preserve">146.608 kn </w:t>
      </w:r>
      <w:r w:rsidRPr="00906B08">
        <w:rPr>
          <w:rFonts w:ascii="Arial" w:hAnsi="Arial" w:cs="Arial"/>
          <w:sz w:val="20"/>
          <w:szCs w:val="20"/>
        </w:rPr>
        <w:t xml:space="preserve">interkalarne </w:t>
      </w:r>
      <w:r w:rsidR="00E43486" w:rsidRPr="00906B08">
        <w:rPr>
          <w:rFonts w:ascii="Arial" w:hAnsi="Arial" w:cs="Arial"/>
          <w:sz w:val="20"/>
          <w:szCs w:val="20"/>
        </w:rPr>
        <w:t>kamat</w:t>
      </w:r>
      <w:r w:rsidR="00A54717" w:rsidRPr="00906B08">
        <w:rPr>
          <w:rFonts w:ascii="Arial" w:hAnsi="Arial" w:cs="Arial"/>
          <w:sz w:val="20"/>
          <w:szCs w:val="20"/>
        </w:rPr>
        <w:t xml:space="preserve">e </w:t>
      </w:r>
      <w:r w:rsidR="00E43486" w:rsidRPr="00906B08">
        <w:rPr>
          <w:rFonts w:ascii="Arial" w:hAnsi="Arial" w:cs="Arial"/>
          <w:sz w:val="20"/>
          <w:szCs w:val="20"/>
        </w:rPr>
        <w:t xml:space="preserve">po </w:t>
      </w:r>
      <w:r w:rsidR="00304368" w:rsidRPr="00906B08">
        <w:rPr>
          <w:rFonts w:ascii="Arial" w:hAnsi="Arial" w:cs="Arial"/>
          <w:sz w:val="20"/>
          <w:szCs w:val="20"/>
        </w:rPr>
        <w:t>dugoročno</w:t>
      </w:r>
      <w:r w:rsidR="001A68CE" w:rsidRPr="00906B08">
        <w:rPr>
          <w:rFonts w:ascii="Arial" w:hAnsi="Arial" w:cs="Arial"/>
          <w:sz w:val="20"/>
          <w:szCs w:val="20"/>
        </w:rPr>
        <w:t>m</w:t>
      </w:r>
      <w:r w:rsidR="00E43486" w:rsidRPr="00906B08">
        <w:rPr>
          <w:rFonts w:ascii="Arial" w:hAnsi="Arial" w:cs="Arial"/>
          <w:sz w:val="20"/>
          <w:szCs w:val="20"/>
        </w:rPr>
        <w:t xml:space="preserve"> kredit</w:t>
      </w:r>
      <w:r w:rsidR="001A68CE" w:rsidRPr="00906B08">
        <w:rPr>
          <w:rFonts w:ascii="Arial" w:hAnsi="Arial" w:cs="Arial"/>
          <w:sz w:val="20"/>
          <w:szCs w:val="20"/>
        </w:rPr>
        <w:t>u</w:t>
      </w:r>
      <w:r w:rsidR="002B06F3" w:rsidRPr="00906B08">
        <w:rPr>
          <w:rFonts w:ascii="Arial" w:hAnsi="Arial" w:cs="Arial"/>
          <w:sz w:val="20"/>
          <w:szCs w:val="20"/>
        </w:rPr>
        <w:t xml:space="preserve"> HBOR-a</w:t>
      </w:r>
      <w:r w:rsidR="001A68CE" w:rsidRPr="00906B08">
        <w:rPr>
          <w:rFonts w:ascii="Arial" w:hAnsi="Arial" w:cs="Arial"/>
          <w:sz w:val="20"/>
          <w:szCs w:val="20"/>
        </w:rPr>
        <w:t xml:space="preserve"> za Projekte Grada, kojih u prethodnom razdoblju nije bilo,</w:t>
      </w:r>
      <w:r w:rsidR="00373E46" w:rsidRPr="00906B08">
        <w:rPr>
          <w:rFonts w:ascii="Arial" w:hAnsi="Arial" w:cs="Arial"/>
          <w:sz w:val="20"/>
          <w:szCs w:val="20"/>
        </w:rPr>
        <w:t xml:space="preserve"> dozvoljenog prekoračenja </w:t>
      </w:r>
      <w:r w:rsidR="001A68CE" w:rsidRPr="00906B08">
        <w:rPr>
          <w:rFonts w:ascii="Arial" w:hAnsi="Arial" w:cs="Arial"/>
          <w:sz w:val="20"/>
          <w:szCs w:val="20"/>
        </w:rPr>
        <w:t>kod poslovne OTP Banke d.d.  70.759</w:t>
      </w:r>
      <w:r w:rsidR="00BD0A4C" w:rsidRPr="00906B08">
        <w:rPr>
          <w:rFonts w:ascii="Arial" w:hAnsi="Arial" w:cs="Arial"/>
          <w:sz w:val="20"/>
          <w:szCs w:val="20"/>
        </w:rPr>
        <w:t xml:space="preserve"> kn</w:t>
      </w:r>
      <w:r w:rsidR="00373E46" w:rsidRPr="00906B08">
        <w:rPr>
          <w:rFonts w:ascii="Arial" w:hAnsi="Arial" w:cs="Arial"/>
          <w:sz w:val="20"/>
          <w:szCs w:val="20"/>
        </w:rPr>
        <w:t xml:space="preserve">, </w:t>
      </w:r>
      <w:r w:rsidR="00E43486" w:rsidRPr="00906B08">
        <w:rPr>
          <w:rFonts w:ascii="Arial" w:hAnsi="Arial" w:cs="Arial"/>
          <w:sz w:val="20"/>
          <w:szCs w:val="20"/>
        </w:rPr>
        <w:t>bankovne usluge</w:t>
      </w:r>
      <w:r w:rsidR="00373E46" w:rsidRPr="00906B08">
        <w:rPr>
          <w:rFonts w:ascii="Arial" w:hAnsi="Arial" w:cs="Arial"/>
          <w:sz w:val="20"/>
          <w:szCs w:val="20"/>
        </w:rPr>
        <w:t xml:space="preserve"> i </w:t>
      </w:r>
      <w:r w:rsidR="00E43486" w:rsidRPr="00906B08">
        <w:rPr>
          <w:rFonts w:ascii="Arial" w:hAnsi="Arial" w:cs="Arial"/>
          <w:sz w:val="20"/>
          <w:szCs w:val="20"/>
        </w:rPr>
        <w:t>usluge platnog prometa</w:t>
      </w:r>
      <w:r w:rsidR="00373E46" w:rsidRPr="00906B08">
        <w:rPr>
          <w:rFonts w:ascii="Arial" w:hAnsi="Arial" w:cs="Arial"/>
          <w:sz w:val="20"/>
          <w:szCs w:val="20"/>
        </w:rPr>
        <w:t xml:space="preserve"> </w:t>
      </w:r>
      <w:r w:rsidRPr="00906B08">
        <w:rPr>
          <w:rFonts w:ascii="Arial" w:hAnsi="Arial" w:cs="Arial"/>
          <w:sz w:val="20"/>
          <w:szCs w:val="20"/>
        </w:rPr>
        <w:t>64.832 kn</w:t>
      </w:r>
      <w:r w:rsidR="00E43486" w:rsidRPr="00906B08">
        <w:rPr>
          <w:rFonts w:ascii="Arial" w:hAnsi="Arial" w:cs="Arial"/>
          <w:sz w:val="20"/>
          <w:szCs w:val="20"/>
        </w:rPr>
        <w:t xml:space="preserve">, </w:t>
      </w:r>
      <w:r w:rsidR="00304368" w:rsidRPr="00906B08">
        <w:rPr>
          <w:rFonts w:ascii="Arial" w:hAnsi="Arial" w:cs="Arial"/>
          <w:sz w:val="20"/>
          <w:szCs w:val="20"/>
        </w:rPr>
        <w:t xml:space="preserve">negativne tečajne razlike po deviznom računu </w:t>
      </w:r>
      <w:r w:rsidRPr="00906B08">
        <w:rPr>
          <w:rFonts w:ascii="Arial" w:hAnsi="Arial" w:cs="Arial"/>
          <w:sz w:val="20"/>
          <w:szCs w:val="20"/>
        </w:rPr>
        <w:t>4.187</w:t>
      </w:r>
      <w:r w:rsidR="00373E46" w:rsidRPr="00906B08">
        <w:rPr>
          <w:rFonts w:ascii="Arial" w:hAnsi="Arial" w:cs="Arial"/>
          <w:sz w:val="20"/>
          <w:szCs w:val="20"/>
        </w:rPr>
        <w:t xml:space="preserve"> kn,</w:t>
      </w:r>
      <w:r w:rsidR="00304368" w:rsidRPr="00906B08">
        <w:rPr>
          <w:rFonts w:ascii="Arial" w:hAnsi="Arial" w:cs="Arial"/>
          <w:sz w:val="20"/>
          <w:szCs w:val="20"/>
        </w:rPr>
        <w:t xml:space="preserve"> </w:t>
      </w:r>
      <w:r w:rsidR="00E43486" w:rsidRPr="00906B08">
        <w:rPr>
          <w:rFonts w:ascii="Arial" w:hAnsi="Arial" w:cs="Arial"/>
          <w:sz w:val="20"/>
          <w:szCs w:val="20"/>
        </w:rPr>
        <w:t xml:space="preserve">zatezne kamate </w:t>
      </w:r>
      <w:r w:rsidR="00373E46" w:rsidRPr="00906B08">
        <w:rPr>
          <w:rFonts w:ascii="Arial" w:hAnsi="Arial" w:cs="Arial"/>
          <w:sz w:val="20"/>
          <w:szCs w:val="20"/>
        </w:rPr>
        <w:t>8</w:t>
      </w:r>
      <w:r w:rsidRPr="00906B08">
        <w:rPr>
          <w:rFonts w:ascii="Arial" w:hAnsi="Arial" w:cs="Arial"/>
          <w:sz w:val="20"/>
          <w:szCs w:val="20"/>
        </w:rPr>
        <w:t>8</w:t>
      </w:r>
      <w:r w:rsidR="00373E46" w:rsidRPr="00906B08">
        <w:rPr>
          <w:rFonts w:ascii="Arial" w:hAnsi="Arial" w:cs="Arial"/>
          <w:sz w:val="20"/>
          <w:szCs w:val="20"/>
        </w:rPr>
        <w:t xml:space="preserve"> kn </w:t>
      </w:r>
      <w:r w:rsidR="00E43486" w:rsidRPr="00906B08">
        <w:rPr>
          <w:rFonts w:ascii="Arial" w:hAnsi="Arial" w:cs="Arial"/>
          <w:sz w:val="20"/>
          <w:szCs w:val="20"/>
        </w:rPr>
        <w:t>i ostale nespomenute financijske rashode</w:t>
      </w:r>
      <w:r w:rsidR="00373E46" w:rsidRPr="00906B08">
        <w:rPr>
          <w:rFonts w:ascii="Arial" w:hAnsi="Arial" w:cs="Arial"/>
          <w:sz w:val="20"/>
          <w:szCs w:val="20"/>
        </w:rPr>
        <w:t xml:space="preserve"> (članarina udruzi Gradova, HRT pristojba i ostali nespomenuti rashodi)</w:t>
      </w:r>
      <w:r w:rsidR="00E43486" w:rsidRPr="00906B08">
        <w:rPr>
          <w:rFonts w:ascii="Arial" w:hAnsi="Arial" w:cs="Arial"/>
          <w:sz w:val="20"/>
          <w:szCs w:val="20"/>
        </w:rPr>
        <w:t xml:space="preserve"> </w:t>
      </w:r>
      <w:r w:rsidRPr="00906B08">
        <w:rPr>
          <w:rFonts w:ascii="Arial" w:hAnsi="Arial" w:cs="Arial"/>
          <w:sz w:val="20"/>
          <w:szCs w:val="20"/>
        </w:rPr>
        <w:t>14.151</w:t>
      </w:r>
      <w:r w:rsidR="00373E46" w:rsidRPr="00906B08">
        <w:rPr>
          <w:rFonts w:ascii="Arial" w:hAnsi="Arial" w:cs="Arial"/>
          <w:sz w:val="20"/>
          <w:szCs w:val="20"/>
        </w:rPr>
        <w:t xml:space="preserve"> kn</w:t>
      </w:r>
      <w:r w:rsidR="00E43486" w:rsidRPr="00906B08">
        <w:rPr>
          <w:rFonts w:ascii="Arial" w:hAnsi="Arial" w:cs="Arial"/>
          <w:sz w:val="20"/>
          <w:szCs w:val="20"/>
        </w:rPr>
        <w:t>.</w:t>
      </w:r>
      <w:r w:rsidR="00373E46" w:rsidRPr="00906B08">
        <w:rPr>
          <w:rFonts w:ascii="Arial" w:hAnsi="Arial" w:cs="Arial"/>
          <w:sz w:val="20"/>
          <w:szCs w:val="20"/>
        </w:rPr>
        <w:t xml:space="preserve"> </w:t>
      </w:r>
    </w:p>
    <w:p w14:paraId="52A61D7F" w14:textId="0867FA8A" w:rsidR="00447B5A" w:rsidRPr="00447B5A" w:rsidRDefault="00447B5A" w:rsidP="00447B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901879" w:rsidRPr="00906B08">
        <w:rPr>
          <w:rFonts w:ascii="Arial" w:hAnsi="Arial" w:cs="Arial"/>
          <w:b/>
          <w:bCs/>
          <w:sz w:val="20"/>
          <w:szCs w:val="20"/>
        </w:rPr>
        <w:t xml:space="preserve"> </w:t>
      </w:r>
      <w:r w:rsidR="00884BB4" w:rsidRPr="00906B08">
        <w:rPr>
          <w:rFonts w:ascii="Arial" w:hAnsi="Arial" w:cs="Arial"/>
          <w:b/>
          <w:bCs/>
          <w:sz w:val="20"/>
          <w:szCs w:val="20"/>
        </w:rPr>
        <w:t>Subvencije</w:t>
      </w:r>
      <w:r w:rsidR="00884BB4" w:rsidRPr="00776AF3">
        <w:rPr>
          <w:rFonts w:ascii="Arial" w:hAnsi="Arial" w:cs="Arial"/>
          <w:b/>
          <w:bCs/>
          <w:sz w:val="20"/>
          <w:szCs w:val="20"/>
        </w:rPr>
        <w:t xml:space="preserve"> (skupina</w:t>
      </w:r>
      <w:r w:rsidR="00884BB4" w:rsidRPr="00023268">
        <w:rPr>
          <w:rFonts w:ascii="Arial" w:hAnsi="Arial" w:cs="Arial"/>
          <w:b/>
          <w:bCs/>
          <w:sz w:val="20"/>
          <w:szCs w:val="20"/>
        </w:rPr>
        <w:t xml:space="preserve"> 35)</w:t>
      </w:r>
      <w:r w:rsidR="00884BB4" w:rsidRPr="00B87396">
        <w:rPr>
          <w:rFonts w:ascii="Arial" w:hAnsi="Arial" w:cs="Arial"/>
          <w:sz w:val="20"/>
          <w:szCs w:val="20"/>
        </w:rPr>
        <w:t xml:space="preserve"> </w:t>
      </w:r>
      <w:r w:rsidRPr="00447B5A">
        <w:rPr>
          <w:rFonts w:ascii="Arial" w:hAnsi="Arial" w:cs="Arial"/>
          <w:sz w:val="20"/>
          <w:szCs w:val="20"/>
        </w:rPr>
        <w:t>u ovom razdoblju nisu izvršene dok su u prethodnom iznosile 69.702 kn i to za prijenose trgovačkom društvu KORA d.o.o. koji u Projektima Grada sudjeluje u svojstvu partnera</w:t>
      </w:r>
      <w:r w:rsidR="00901879">
        <w:rPr>
          <w:rFonts w:ascii="Arial" w:hAnsi="Arial" w:cs="Arial"/>
          <w:sz w:val="20"/>
          <w:szCs w:val="20"/>
        </w:rPr>
        <w:t>, prema sklopljenom Ugovoru o dodjeli bespovratnih sredstava za Projekte.</w:t>
      </w:r>
    </w:p>
    <w:p w14:paraId="77F9FA2D" w14:textId="6505ED93" w:rsidR="00636ED0" w:rsidRPr="00B87396" w:rsidRDefault="00E43486" w:rsidP="00636ED0">
      <w:pPr>
        <w:ind w:right="57" w:firstLine="72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Pomoći</w:t>
      </w:r>
      <w:r w:rsidRPr="00776AF3">
        <w:rPr>
          <w:rFonts w:ascii="Arial" w:hAnsi="Arial" w:cs="Arial"/>
          <w:b/>
          <w:bCs/>
          <w:sz w:val="20"/>
          <w:szCs w:val="20"/>
        </w:rPr>
        <w:t xml:space="preserve"> dane u inozemstvo</w:t>
      </w:r>
      <w:r w:rsidRPr="00023268">
        <w:rPr>
          <w:rFonts w:ascii="Arial" w:hAnsi="Arial" w:cs="Arial"/>
          <w:b/>
          <w:bCs/>
          <w:sz w:val="20"/>
          <w:szCs w:val="20"/>
        </w:rPr>
        <w:t xml:space="preserve"> i unutar općeg proračuna (skupina 36)</w:t>
      </w:r>
      <w:r w:rsidRPr="00B87396">
        <w:rPr>
          <w:rFonts w:ascii="Arial" w:hAnsi="Arial" w:cs="Arial"/>
          <w:sz w:val="20"/>
          <w:szCs w:val="20"/>
        </w:rPr>
        <w:t xml:space="preserve"> iznose </w:t>
      </w:r>
      <w:r w:rsidR="000338CF" w:rsidRPr="000338CF">
        <w:rPr>
          <w:rFonts w:ascii="Arial" w:hAnsi="Arial" w:cs="Arial"/>
          <w:b/>
          <w:bCs/>
          <w:sz w:val="20"/>
          <w:szCs w:val="20"/>
        </w:rPr>
        <w:t>800.559</w:t>
      </w:r>
      <w:r w:rsidR="00313A7B" w:rsidRPr="00B87396">
        <w:rPr>
          <w:rFonts w:ascii="Arial" w:hAnsi="Arial" w:cs="Arial"/>
          <w:sz w:val="20"/>
          <w:szCs w:val="20"/>
        </w:rPr>
        <w:t xml:space="preserve"> kn</w:t>
      </w:r>
      <w:r w:rsidRPr="00B87396">
        <w:rPr>
          <w:rFonts w:ascii="Arial" w:hAnsi="Arial" w:cs="Arial"/>
          <w:sz w:val="20"/>
          <w:szCs w:val="20"/>
        </w:rPr>
        <w:t xml:space="preserve"> i za</w:t>
      </w:r>
      <w:r w:rsidR="00636ED0">
        <w:rPr>
          <w:rFonts w:ascii="Arial" w:hAnsi="Arial" w:cs="Arial"/>
          <w:sz w:val="20"/>
          <w:szCs w:val="20"/>
        </w:rPr>
        <w:t xml:space="preserve"> </w:t>
      </w:r>
      <w:r w:rsidR="000338CF">
        <w:rPr>
          <w:rFonts w:ascii="Arial" w:hAnsi="Arial" w:cs="Arial"/>
          <w:sz w:val="20"/>
          <w:szCs w:val="20"/>
        </w:rPr>
        <w:t>17</w:t>
      </w:r>
      <w:r w:rsidRPr="00B87396">
        <w:rPr>
          <w:rFonts w:ascii="Arial" w:hAnsi="Arial" w:cs="Arial"/>
          <w:sz w:val="20"/>
          <w:szCs w:val="20"/>
        </w:rPr>
        <w:t xml:space="preserve">% (ili </w:t>
      </w:r>
      <w:r w:rsidR="00F7140E">
        <w:rPr>
          <w:rFonts w:ascii="Arial" w:hAnsi="Arial" w:cs="Arial"/>
          <w:sz w:val="20"/>
          <w:szCs w:val="20"/>
        </w:rPr>
        <w:t>159.700</w:t>
      </w:r>
      <w:r w:rsidR="00313A7B" w:rsidRPr="00B87396">
        <w:rPr>
          <w:rFonts w:ascii="Arial" w:hAnsi="Arial" w:cs="Arial"/>
          <w:sz w:val="20"/>
          <w:szCs w:val="20"/>
        </w:rPr>
        <w:t xml:space="preserve"> kn</w:t>
      </w:r>
      <w:r w:rsidRPr="00B87396">
        <w:rPr>
          <w:rFonts w:ascii="Arial" w:hAnsi="Arial" w:cs="Arial"/>
          <w:sz w:val="20"/>
          <w:szCs w:val="20"/>
        </w:rPr>
        <w:t xml:space="preserve">) su </w:t>
      </w:r>
      <w:r w:rsidR="00F7140E">
        <w:rPr>
          <w:rFonts w:ascii="Arial" w:hAnsi="Arial" w:cs="Arial"/>
          <w:sz w:val="20"/>
          <w:szCs w:val="20"/>
        </w:rPr>
        <w:t>manje</w:t>
      </w:r>
      <w:r w:rsidRPr="00B87396">
        <w:rPr>
          <w:rFonts w:ascii="Arial" w:hAnsi="Arial" w:cs="Arial"/>
          <w:sz w:val="20"/>
          <w:szCs w:val="20"/>
        </w:rPr>
        <w:t xml:space="preserve"> nego 20</w:t>
      </w:r>
      <w:r w:rsidR="00F7140E">
        <w:rPr>
          <w:rFonts w:ascii="Arial" w:hAnsi="Arial" w:cs="Arial"/>
          <w:sz w:val="20"/>
          <w:szCs w:val="20"/>
        </w:rPr>
        <w:t>20</w:t>
      </w:r>
      <w:r w:rsidRPr="00B87396">
        <w:rPr>
          <w:rFonts w:ascii="Arial" w:hAnsi="Arial" w:cs="Arial"/>
          <w:sz w:val="20"/>
          <w:szCs w:val="20"/>
        </w:rPr>
        <w:t>.godine</w:t>
      </w:r>
      <w:r w:rsidR="00636ED0">
        <w:rPr>
          <w:rFonts w:ascii="Arial" w:hAnsi="Arial" w:cs="Arial"/>
          <w:sz w:val="20"/>
          <w:szCs w:val="20"/>
        </w:rPr>
        <w:t>. O</w:t>
      </w:r>
      <w:r w:rsidRPr="00B87396">
        <w:rPr>
          <w:rFonts w:ascii="Arial" w:hAnsi="Arial" w:cs="Arial"/>
          <w:sz w:val="20"/>
          <w:szCs w:val="20"/>
        </w:rPr>
        <w:t xml:space="preserve">dnose se na dane </w:t>
      </w:r>
      <w:r w:rsidR="00F7140E">
        <w:rPr>
          <w:rFonts w:ascii="Arial" w:hAnsi="Arial" w:cs="Arial"/>
          <w:sz w:val="20"/>
          <w:szCs w:val="20"/>
        </w:rPr>
        <w:t xml:space="preserve">tekuće </w:t>
      </w:r>
      <w:r w:rsidRPr="00B87396">
        <w:rPr>
          <w:rFonts w:ascii="Arial" w:hAnsi="Arial" w:cs="Arial"/>
          <w:sz w:val="20"/>
          <w:szCs w:val="20"/>
        </w:rPr>
        <w:t xml:space="preserve">pomoći Grada proračunskim korisnicima drugih proračuna i to: Zavodu za hitnu medicinu </w:t>
      </w:r>
      <w:r w:rsidR="00636ED0">
        <w:rPr>
          <w:rFonts w:ascii="Arial" w:hAnsi="Arial" w:cs="Arial"/>
          <w:sz w:val="20"/>
          <w:szCs w:val="20"/>
        </w:rPr>
        <w:t>432</w:t>
      </w:r>
      <w:r w:rsidR="00752044" w:rsidRPr="00B87396">
        <w:rPr>
          <w:rFonts w:ascii="Arial" w:hAnsi="Arial" w:cs="Arial"/>
          <w:sz w:val="20"/>
          <w:szCs w:val="20"/>
        </w:rPr>
        <w:t>.000</w:t>
      </w:r>
      <w:r w:rsidR="00313A7B" w:rsidRPr="00B87396">
        <w:rPr>
          <w:rFonts w:ascii="Arial" w:hAnsi="Arial" w:cs="Arial"/>
          <w:sz w:val="20"/>
          <w:szCs w:val="20"/>
        </w:rPr>
        <w:t xml:space="preserve"> kn</w:t>
      </w:r>
      <w:r w:rsidR="00752044" w:rsidRPr="00B87396">
        <w:rPr>
          <w:rFonts w:ascii="Arial" w:hAnsi="Arial" w:cs="Arial"/>
          <w:sz w:val="20"/>
          <w:szCs w:val="20"/>
        </w:rPr>
        <w:t>,</w:t>
      </w:r>
      <w:r w:rsidR="00313A7B" w:rsidRPr="00B87396">
        <w:rPr>
          <w:rFonts w:ascii="Arial" w:hAnsi="Arial" w:cs="Arial"/>
          <w:sz w:val="20"/>
          <w:szCs w:val="20"/>
        </w:rPr>
        <w:t xml:space="preserve"> Domu</w:t>
      </w:r>
      <w:r w:rsidRPr="00B87396">
        <w:rPr>
          <w:rFonts w:ascii="Arial" w:hAnsi="Arial" w:cs="Arial"/>
          <w:sz w:val="20"/>
          <w:szCs w:val="20"/>
        </w:rPr>
        <w:t xml:space="preserve"> zdravlja</w:t>
      </w:r>
      <w:r w:rsidR="00313A7B" w:rsidRPr="00B87396">
        <w:rPr>
          <w:rFonts w:ascii="Arial" w:hAnsi="Arial" w:cs="Arial"/>
          <w:sz w:val="20"/>
          <w:szCs w:val="20"/>
        </w:rPr>
        <w:t xml:space="preserve"> Korčula 1</w:t>
      </w:r>
      <w:r w:rsidR="00636ED0">
        <w:rPr>
          <w:rFonts w:ascii="Arial" w:hAnsi="Arial" w:cs="Arial"/>
          <w:sz w:val="20"/>
          <w:szCs w:val="20"/>
        </w:rPr>
        <w:t>10</w:t>
      </w:r>
      <w:r w:rsidR="00313A7B" w:rsidRPr="00B87396">
        <w:rPr>
          <w:rFonts w:ascii="Arial" w:hAnsi="Arial" w:cs="Arial"/>
          <w:sz w:val="20"/>
          <w:szCs w:val="20"/>
        </w:rPr>
        <w:t>.000 kn</w:t>
      </w:r>
      <w:r w:rsidR="00752044" w:rsidRPr="00B87396">
        <w:rPr>
          <w:rFonts w:ascii="Arial" w:hAnsi="Arial" w:cs="Arial"/>
          <w:sz w:val="20"/>
          <w:szCs w:val="20"/>
        </w:rPr>
        <w:t xml:space="preserve"> i Osnovnoj glazbenoj školi </w:t>
      </w:r>
      <w:r w:rsidR="00F7140E">
        <w:rPr>
          <w:rFonts w:ascii="Arial" w:hAnsi="Arial" w:cs="Arial"/>
          <w:sz w:val="20"/>
          <w:szCs w:val="20"/>
        </w:rPr>
        <w:t>20</w:t>
      </w:r>
      <w:r w:rsidR="00636ED0">
        <w:rPr>
          <w:rFonts w:ascii="Arial" w:hAnsi="Arial" w:cs="Arial"/>
          <w:sz w:val="20"/>
          <w:szCs w:val="20"/>
        </w:rPr>
        <w:t>.</w:t>
      </w:r>
      <w:r w:rsidR="00752044" w:rsidRPr="00B87396">
        <w:rPr>
          <w:rFonts w:ascii="Arial" w:hAnsi="Arial" w:cs="Arial"/>
          <w:sz w:val="20"/>
          <w:szCs w:val="20"/>
        </w:rPr>
        <w:t>000 kn,</w:t>
      </w:r>
      <w:r w:rsidR="00636ED0">
        <w:rPr>
          <w:rFonts w:ascii="Arial" w:hAnsi="Arial" w:cs="Arial"/>
          <w:sz w:val="20"/>
          <w:szCs w:val="20"/>
        </w:rPr>
        <w:t xml:space="preserve"> te na kapitalne pomoći općini Lumbarda za sanaciju Kokojevice </w:t>
      </w:r>
      <w:r w:rsidR="00F7140E">
        <w:rPr>
          <w:rFonts w:ascii="Arial" w:hAnsi="Arial" w:cs="Arial"/>
          <w:sz w:val="20"/>
          <w:szCs w:val="20"/>
        </w:rPr>
        <w:t>224.135</w:t>
      </w:r>
      <w:r w:rsidR="00636ED0">
        <w:rPr>
          <w:rFonts w:ascii="Arial" w:hAnsi="Arial" w:cs="Arial"/>
          <w:sz w:val="20"/>
          <w:szCs w:val="20"/>
        </w:rPr>
        <w:t xml:space="preserve"> kn i Fondu za zaštitu okoliša i energ.učinkovitost </w:t>
      </w:r>
      <w:r w:rsidR="00F7140E">
        <w:rPr>
          <w:rFonts w:ascii="Arial" w:hAnsi="Arial" w:cs="Arial"/>
          <w:sz w:val="20"/>
          <w:szCs w:val="20"/>
        </w:rPr>
        <w:t>14.424</w:t>
      </w:r>
      <w:r w:rsidR="00636ED0">
        <w:rPr>
          <w:rFonts w:ascii="Arial" w:hAnsi="Arial" w:cs="Arial"/>
          <w:sz w:val="20"/>
          <w:szCs w:val="20"/>
        </w:rPr>
        <w:t xml:space="preserve"> kn, za spremnike za odvajanje komunalnog otpada. </w:t>
      </w:r>
      <w:r w:rsidR="00920A88">
        <w:rPr>
          <w:rFonts w:ascii="Arial" w:hAnsi="Arial" w:cs="Arial"/>
          <w:sz w:val="20"/>
          <w:szCs w:val="20"/>
        </w:rPr>
        <w:t>Smanjenje</w:t>
      </w:r>
      <w:r w:rsidR="00EB6F3F">
        <w:rPr>
          <w:rFonts w:ascii="Arial" w:hAnsi="Arial" w:cs="Arial"/>
          <w:sz w:val="20"/>
          <w:szCs w:val="20"/>
        </w:rPr>
        <w:t xml:space="preserve"> rashoda</w:t>
      </w:r>
      <w:r w:rsidR="00920A88">
        <w:rPr>
          <w:rFonts w:ascii="Arial" w:hAnsi="Arial" w:cs="Arial"/>
          <w:sz w:val="20"/>
          <w:szCs w:val="20"/>
        </w:rPr>
        <w:t xml:space="preserve"> na odjeljku je kapitalnih pomoći u iznosu od 165.700 i to općini Lumbarda za sanaciju odlagališta otpada, dok je povećanje rashoda od 6.000 kn u odjeljku tekućih pomoći proračunskim korisnicima drugih proračuna</w:t>
      </w:r>
      <w:r w:rsidR="00576BDB">
        <w:rPr>
          <w:rFonts w:ascii="Arial" w:hAnsi="Arial" w:cs="Arial"/>
          <w:sz w:val="20"/>
          <w:szCs w:val="20"/>
        </w:rPr>
        <w:t>-</w:t>
      </w:r>
      <w:r w:rsidR="00C76EDF">
        <w:rPr>
          <w:rFonts w:ascii="Arial" w:hAnsi="Arial" w:cs="Arial"/>
          <w:sz w:val="20"/>
          <w:szCs w:val="20"/>
        </w:rPr>
        <w:t xml:space="preserve"> Osnovnoj glazbenoj Školi.</w:t>
      </w:r>
    </w:p>
    <w:p w14:paraId="42BBC942" w14:textId="4FD0C959" w:rsidR="00E43486" w:rsidRPr="00B87396" w:rsidRDefault="00E43486" w:rsidP="00E43486">
      <w:pPr>
        <w:ind w:right="57" w:firstLine="72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Naknade građanima i kućanstvima</w:t>
      </w:r>
      <w:r w:rsidRPr="00023268">
        <w:rPr>
          <w:rFonts w:ascii="Arial" w:hAnsi="Arial" w:cs="Arial"/>
          <w:b/>
          <w:bCs/>
          <w:sz w:val="20"/>
          <w:szCs w:val="20"/>
        </w:rPr>
        <w:t xml:space="preserve"> (skupina 37)</w:t>
      </w:r>
      <w:r w:rsidRPr="00B87396">
        <w:rPr>
          <w:rFonts w:ascii="Arial" w:hAnsi="Arial" w:cs="Arial"/>
          <w:sz w:val="20"/>
          <w:szCs w:val="20"/>
        </w:rPr>
        <w:t xml:space="preserve"> </w:t>
      </w:r>
      <w:r w:rsidR="00757336" w:rsidRPr="00B87396">
        <w:rPr>
          <w:rFonts w:ascii="Arial" w:hAnsi="Arial" w:cs="Arial"/>
          <w:sz w:val="20"/>
          <w:szCs w:val="20"/>
        </w:rPr>
        <w:t xml:space="preserve">su </w:t>
      </w:r>
      <w:r w:rsidR="00E94ADE">
        <w:rPr>
          <w:rFonts w:ascii="Arial" w:hAnsi="Arial" w:cs="Arial"/>
          <w:sz w:val="20"/>
          <w:szCs w:val="20"/>
        </w:rPr>
        <w:t xml:space="preserve">veće </w:t>
      </w:r>
      <w:r w:rsidR="00752044" w:rsidRPr="00B87396">
        <w:rPr>
          <w:rFonts w:ascii="Arial" w:hAnsi="Arial" w:cs="Arial"/>
          <w:sz w:val="20"/>
          <w:szCs w:val="20"/>
        </w:rPr>
        <w:t xml:space="preserve">za </w:t>
      </w:r>
      <w:r w:rsidR="00B071C1">
        <w:rPr>
          <w:rFonts w:ascii="Arial" w:hAnsi="Arial" w:cs="Arial"/>
          <w:sz w:val="20"/>
          <w:szCs w:val="20"/>
        </w:rPr>
        <w:t>14</w:t>
      </w:r>
      <w:r w:rsidR="00752044" w:rsidRPr="00B87396">
        <w:rPr>
          <w:rFonts w:ascii="Arial" w:hAnsi="Arial" w:cs="Arial"/>
          <w:sz w:val="20"/>
          <w:szCs w:val="20"/>
        </w:rPr>
        <w:t>% (</w:t>
      </w:r>
      <w:r w:rsidR="00B071C1">
        <w:rPr>
          <w:rFonts w:ascii="Arial" w:hAnsi="Arial" w:cs="Arial"/>
          <w:sz w:val="20"/>
          <w:szCs w:val="20"/>
        </w:rPr>
        <w:t>83.549</w:t>
      </w:r>
      <w:r w:rsidR="00752044" w:rsidRPr="00B87396">
        <w:rPr>
          <w:rFonts w:ascii="Arial" w:hAnsi="Arial" w:cs="Arial"/>
          <w:sz w:val="20"/>
          <w:szCs w:val="20"/>
        </w:rPr>
        <w:t xml:space="preserve"> kn) nego </w:t>
      </w:r>
      <w:r w:rsidR="00757336" w:rsidRPr="00B87396">
        <w:rPr>
          <w:rFonts w:ascii="Arial" w:hAnsi="Arial" w:cs="Arial"/>
          <w:sz w:val="20"/>
          <w:szCs w:val="20"/>
        </w:rPr>
        <w:t>prošlogodišnj</w:t>
      </w:r>
      <w:r w:rsidR="00752044" w:rsidRPr="00B87396">
        <w:rPr>
          <w:rFonts w:ascii="Arial" w:hAnsi="Arial" w:cs="Arial"/>
          <w:sz w:val="20"/>
          <w:szCs w:val="20"/>
        </w:rPr>
        <w:t xml:space="preserve">e i iznose </w:t>
      </w:r>
      <w:r w:rsidR="00881A80">
        <w:rPr>
          <w:rFonts w:ascii="Arial" w:hAnsi="Arial" w:cs="Arial"/>
          <w:b/>
          <w:bCs/>
          <w:sz w:val="20"/>
          <w:szCs w:val="20"/>
        </w:rPr>
        <w:t>671.091</w:t>
      </w:r>
      <w:r w:rsidR="00757336" w:rsidRPr="00B87396">
        <w:rPr>
          <w:rFonts w:ascii="Arial" w:hAnsi="Arial" w:cs="Arial"/>
          <w:sz w:val="20"/>
          <w:szCs w:val="20"/>
        </w:rPr>
        <w:t xml:space="preserve"> kn.</w:t>
      </w:r>
      <w:r w:rsidRPr="00B87396">
        <w:rPr>
          <w:rFonts w:ascii="Arial" w:hAnsi="Arial" w:cs="Arial"/>
          <w:sz w:val="20"/>
          <w:szCs w:val="20"/>
        </w:rPr>
        <w:t xml:space="preserve"> </w:t>
      </w:r>
    </w:p>
    <w:p w14:paraId="3924BD6C" w14:textId="630C7B7A" w:rsidR="00E43486" w:rsidRPr="00D04794" w:rsidRDefault="00E43486" w:rsidP="00E43486">
      <w:pPr>
        <w:ind w:right="57" w:firstLine="720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b/>
          <w:bCs/>
          <w:sz w:val="20"/>
          <w:szCs w:val="20"/>
        </w:rPr>
        <w:t>Ostali rashodi (skupina</w:t>
      </w:r>
      <w:r w:rsidRPr="00023268">
        <w:rPr>
          <w:rFonts w:ascii="Arial" w:hAnsi="Arial" w:cs="Arial"/>
          <w:b/>
          <w:bCs/>
          <w:sz w:val="20"/>
          <w:szCs w:val="20"/>
        </w:rPr>
        <w:t xml:space="preserve"> 38)</w:t>
      </w:r>
      <w:r w:rsidRPr="00B87396">
        <w:rPr>
          <w:rFonts w:ascii="Arial" w:hAnsi="Arial" w:cs="Arial"/>
          <w:sz w:val="20"/>
          <w:szCs w:val="20"/>
        </w:rPr>
        <w:t xml:space="preserve"> u iznosu od </w:t>
      </w:r>
      <w:r w:rsidR="00881A80">
        <w:rPr>
          <w:rFonts w:ascii="Arial" w:hAnsi="Arial" w:cs="Arial"/>
          <w:b/>
          <w:bCs/>
          <w:sz w:val="20"/>
          <w:szCs w:val="20"/>
        </w:rPr>
        <w:t>4.574.287</w:t>
      </w:r>
      <w:r w:rsidR="00757BCF" w:rsidRPr="00B87396">
        <w:rPr>
          <w:rFonts w:ascii="Arial" w:hAnsi="Arial" w:cs="Arial"/>
          <w:sz w:val="20"/>
          <w:szCs w:val="20"/>
        </w:rPr>
        <w:t xml:space="preserve"> kn </w:t>
      </w:r>
      <w:r w:rsidR="00881A80">
        <w:rPr>
          <w:rFonts w:ascii="Arial" w:hAnsi="Arial" w:cs="Arial"/>
          <w:sz w:val="20"/>
          <w:szCs w:val="20"/>
        </w:rPr>
        <w:t>veći</w:t>
      </w:r>
      <w:r w:rsidRPr="00B87396">
        <w:rPr>
          <w:rFonts w:ascii="Arial" w:hAnsi="Arial" w:cs="Arial"/>
          <w:sz w:val="20"/>
          <w:szCs w:val="20"/>
        </w:rPr>
        <w:t xml:space="preserve"> su od prethodne godine za </w:t>
      </w:r>
      <w:r w:rsidR="00881A80">
        <w:rPr>
          <w:rFonts w:ascii="Arial" w:hAnsi="Arial" w:cs="Arial"/>
          <w:sz w:val="20"/>
          <w:szCs w:val="20"/>
        </w:rPr>
        <w:t>21</w:t>
      </w:r>
      <w:r w:rsidRPr="00B87396">
        <w:rPr>
          <w:rFonts w:ascii="Arial" w:hAnsi="Arial" w:cs="Arial"/>
          <w:sz w:val="20"/>
          <w:szCs w:val="20"/>
        </w:rPr>
        <w:t xml:space="preserve">% a (ili </w:t>
      </w:r>
      <w:r w:rsidR="00881A80">
        <w:rPr>
          <w:rFonts w:ascii="Arial" w:hAnsi="Arial" w:cs="Arial"/>
          <w:sz w:val="20"/>
          <w:szCs w:val="20"/>
        </w:rPr>
        <w:t>794.672</w:t>
      </w:r>
      <w:r w:rsidR="00757BCF" w:rsidRPr="00B87396">
        <w:rPr>
          <w:rFonts w:ascii="Arial" w:hAnsi="Arial" w:cs="Arial"/>
          <w:sz w:val="20"/>
          <w:szCs w:val="20"/>
        </w:rPr>
        <w:t xml:space="preserve"> kn</w:t>
      </w:r>
      <w:r w:rsidRPr="00B87396">
        <w:rPr>
          <w:rFonts w:ascii="Arial" w:hAnsi="Arial" w:cs="Arial"/>
          <w:sz w:val="20"/>
          <w:szCs w:val="20"/>
        </w:rPr>
        <w:t>)</w:t>
      </w:r>
      <w:r w:rsidR="008F672E">
        <w:rPr>
          <w:rFonts w:ascii="Arial" w:hAnsi="Arial" w:cs="Arial"/>
          <w:sz w:val="20"/>
          <w:szCs w:val="20"/>
        </w:rPr>
        <w:t>,</w:t>
      </w:r>
      <w:r w:rsidRPr="00B87396">
        <w:rPr>
          <w:rFonts w:ascii="Arial" w:hAnsi="Arial" w:cs="Arial"/>
          <w:sz w:val="20"/>
          <w:szCs w:val="20"/>
        </w:rPr>
        <w:t xml:space="preserve"> a odnose se na tekuće donacije Grada </w:t>
      </w:r>
      <w:r w:rsidR="003105CA" w:rsidRPr="00B87396">
        <w:rPr>
          <w:rFonts w:ascii="Arial" w:hAnsi="Arial" w:cs="Arial"/>
          <w:sz w:val="20"/>
          <w:szCs w:val="20"/>
        </w:rPr>
        <w:t>raznim udrug</w:t>
      </w:r>
      <w:r w:rsidR="003105CA" w:rsidRPr="00D04794">
        <w:rPr>
          <w:rFonts w:ascii="Arial" w:hAnsi="Arial" w:cs="Arial"/>
          <w:sz w:val="20"/>
          <w:szCs w:val="20"/>
        </w:rPr>
        <w:t xml:space="preserve">ama, zajednicama, organizacijama, </w:t>
      </w:r>
      <w:r w:rsidR="005E0C24">
        <w:rPr>
          <w:rFonts w:ascii="Arial" w:hAnsi="Arial" w:cs="Arial"/>
          <w:sz w:val="20"/>
          <w:szCs w:val="20"/>
        </w:rPr>
        <w:t xml:space="preserve">političkim strankama, </w:t>
      </w:r>
      <w:r w:rsidR="003105CA" w:rsidRPr="00D04794">
        <w:rPr>
          <w:rFonts w:ascii="Arial" w:hAnsi="Arial" w:cs="Arial"/>
          <w:sz w:val="20"/>
          <w:szCs w:val="20"/>
        </w:rPr>
        <w:t xml:space="preserve">školama i dječjim vrtićima i ostalima </w:t>
      </w:r>
      <w:r w:rsidRPr="00D04794">
        <w:rPr>
          <w:rFonts w:ascii="Arial" w:hAnsi="Arial" w:cs="Arial"/>
          <w:sz w:val="20"/>
          <w:szCs w:val="20"/>
        </w:rPr>
        <w:t>(podskupina 381)</w:t>
      </w:r>
      <w:r w:rsidR="005E0C24">
        <w:rPr>
          <w:rFonts w:ascii="Arial" w:hAnsi="Arial" w:cs="Arial"/>
          <w:sz w:val="20"/>
          <w:szCs w:val="20"/>
        </w:rPr>
        <w:t>.</w:t>
      </w:r>
      <w:r w:rsidR="008F672E">
        <w:rPr>
          <w:rFonts w:ascii="Arial" w:hAnsi="Arial" w:cs="Arial"/>
          <w:sz w:val="20"/>
          <w:szCs w:val="20"/>
        </w:rPr>
        <w:t xml:space="preserve"> Navedeni rashodi veći su radi povećanja izdvajanja za naknade i donacije, kao posljedica ostvarenja većih prihoda usljed smanjenja koronakrize.</w:t>
      </w:r>
    </w:p>
    <w:p w14:paraId="5183A6E9" w14:textId="55771EA7" w:rsidR="00E43486" w:rsidRDefault="00E43486" w:rsidP="00E43486">
      <w:pPr>
        <w:ind w:right="57" w:firstLine="720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sz w:val="20"/>
          <w:szCs w:val="20"/>
        </w:rPr>
        <w:t xml:space="preserve">Izvršenje rashoda poslovanja </w:t>
      </w:r>
      <w:r w:rsidR="0001503D">
        <w:rPr>
          <w:rFonts w:ascii="Arial" w:hAnsi="Arial" w:cs="Arial"/>
          <w:sz w:val="20"/>
          <w:szCs w:val="20"/>
        </w:rPr>
        <w:t xml:space="preserve">za </w:t>
      </w:r>
      <w:r w:rsidR="008F672E">
        <w:rPr>
          <w:rFonts w:ascii="Arial" w:hAnsi="Arial" w:cs="Arial"/>
          <w:sz w:val="20"/>
          <w:szCs w:val="20"/>
        </w:rPr>
        <w:t>3</w:t>
      </w:r>
      <w:r w:rsidR="0001503D">
        <w:rPr>
          <w:rFonts w:ascii="Arial" w:hAnsi="Arial" w:cs="Arial"/>
          <w:sz w:val="20"/>
          <w:szCs w:val="20"/>
        </w:rPr>
        <w:t xml:space="preserve">% je </w:t>
      </w:r>
      <w:r w:rsidR="005E0C24">
        <w:rPr>
          <w:rFonts w:ascii="Arial" w:hAnsi="Arial" w:cs="Arial"/>
          <w:sz w:val="20"/>
          <w:szCs w:val="20"/>
        </w:rPr>
        <w:t>manje</w:t>
      </w:r>
      <w:r w:rsidR="00DC5A99" w:rsidRPr="00D04794">
        <w:rPr>
          <w:rFonts w:ascii="Arial" w:hAnsi="Arial" w:cs="Arial"/>
          <w:sz w:val="20"/>
          <w:szCs w:val="20"/>
        </w:rPr>
        <w:t xml:space="preserve"> od planiranih</w:t>
      </w:r>
      <w:r w:rsidRPr="00D04794">
        <w:rPr>
          <w:rFonts w:ascii="Arial" w:hAnsi="Arial" w:cs="Arial"/>
          <w:sz w:val="20"/>
          <w:szCs w:val="20"/>
        </w:rPr>
        <w:t>.</w:t>
      </w:r>
    </w:p>
    <w:p w14:paraId="5290E4BD" w14:textId="717A3074" w:rsidR="000A03EE" w:rsidRPr="00D04794" w:rsidRDefault="0007279C" w:rsidP="00E43486">
      <w:pPr>
        <w:ind w:right="57" w:firstLine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05871A3" wp14:editId="2AB8BA12">
            <wp:extent cx="6194425" cy="3609893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10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653B3C" w14:textId="03B7FEFF" w:rsidR="003A5E0B" w:rsidRDefault="00262333" w:rsidP="009D3D48">
      <w:pPr>
        <w:ind w:right="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04794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14:paraId="44BE216D" w14:textId="556A7B60" w:rsidR="00B74C5C" w:rsidRDefault="00B74C5C" w:rsidP="009D3D48">
      <w:pPr>
        <w:ind w:right="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0BF766" w14:textId="77777777" w:rsidR="00AF3530" w:rsidRDefault="00AF3530" w:rsidP="009D3D48">
      <w:pPr>
        <w:ind w:right="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983AEA" w14:textId="77777777" w:rsidR="003A5E0B" w:rsidRDefault="003A5E0B" w:rsidP="009D3D48">
      <w:pPr>
        <w:ind w:right="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E4C316" w14:textId="56F84E53" w:rsidR="000C69AF" w:rsidRPr="009D3D48" w:rsidRDefault="003A5E0B" w:rsidP="003A5E0B">
      <w:p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="00E43486" w:rsidRPr="00906B08">
        <w:rPr>
          <w:rFonts w:ascii="Arial" w:hAnsi="Arial" w:cs="Arial"/>
          <w:b/>
          <w:bCs/>
          <w:sz w:val="20"/>
          <w:szCs w:val="20"/>
          <w:u w:val="single"/>
        </w:rPr>
        <w:t>Rashodi za nabavu</w:t>
      </w:r>
      <w:r w:rsidR="00E43486" w:rsidRPr="00D04794">
        <w:rPr>
          <w:rFonts w:ascii="Arial" w:hAnsi="Arial" w:cs="Arial"/>
          <w:b/>
          <w:bCs/>
          <w:sz w:val="20"/>
          <w:szCs w:val="20"/>
          <w:u w:val="single"/>
        </w:rPr>
        <w:t xml:space="preserve"> nefinancijske imovine</w:t>
      </w:r>
      <w:r w:rsidR="00E43486" w:rsidRPr="00D04794">
        <w:rPr>
          <w:rFonts w:ascii="Arial" w:hAnsi="Arial" w:cs="Arial"/>
          <w:b/>
          <w:bCs/>
          <w:sz w:val="20"/>
          <w:szCs w:val="20"/>
        </w:rPr>
        <w:t xml:space="preserve"> (razred 4) </w:t>
      </w:r>
      <w:r w:rsidR="00E43486" w:rsidRPr="00D04794">
        <w:rPr>
          <w:rFonts w:ascii="Arial" w:hAnsi="Arial" w:cs="Arial"/>
          <w:sz w:val="20"/>
          <w:szCs w:val="20"/>
        </w:rPr>
        <w:t xml:space="preserve">ostvareni su u iznosu od </w:t>
      </w:r>
      <w:r w:rsidR="0079019F" w:rsidRPr="009D3D48">
        <w:rPr>
          <w:rFonts w:ascii="Arial" w:hAnsi="Arial" w:cs="Arial"/>
          <w:b/>
          <w:bCs/>
          <w:sz w:val="20"/>
          <w:szCs w:val="20"/>
        </w:rPr>
        <w:t>1</w:t>
      </w:r>
      <w:r w:rsidR="00103871">
        <w:rPr>
          <w:rFonts w:ascii="Arial" w:hAnsi="Arial" w:cs="Arial"/>
          <w:b/>
          <w:bCs/>
          <w:sz w:val="20"/>
          <w:szCs w:val="20"/>
        </w:rPr>
        <w:t>7.566.958</w:t>
      </w:r>
      <w:r w:rsidR="009D3D48">
        <w:rPr>
          <w:rFonts w:ascii="Arial" w:hAnsi="Arial" w:cs="Arial"/>
          <w:sz w:val="20"/>
          <w:szCs w:val="20"/>
        </w:rPr>
        <w:t xml:space="preserve"> </w:t>
      </w:r>
      <w:r w:rsidR="00112907" w:rsidRPr="00D04794">
        <w:rPr>
          <w:rFonts w:ascii="Arial" w:hAnsi="Arial" w:cs="Arial"/>
          <w:sz w:val="20"/>
          <w:szCs w:val="20"/>
        </w:rPr>
        <w:t>kn</w:t>
      </w:r>
      <w:r w:rsidR="00E43486" w:rsidRPr="00D04794">
        <w:rPr>
          <w:rFonts w:ascii="Arial" w:hAnsi="Arial" w:cs="Arial"/>
          <w:sz w:val="20"/>
          <w:szCs w:val="20"/>
        </w:rPr>
        <w:t xml:space="preserve"> i </w:t>
      </w:r>
      <w:r w:rsidR="0079019F">
        <w:rPr>
          <w:rFonts w:ascii="Arial" w:hAnsi="Arial" w:cs="Arial"/>
          <w:sz w:val="20"/>
          <w:szCs w:val="20"/>
        </w:rPr>
        <w:t xml:space="preserve">za </w:t>
      </w:r>
      <w:r w:rsidR="00103871">
        <w:rPr>
          <w:rFonts w:ascii="Arial" w:hAnsi="Arial" w:cs="Arial"/>
          <w:sz w:val="20"/>
          <w:szCs w:val="20"/>
        </w:rPr>
        <w:t>48</w:t>
      </w:r>
      <w:r w:rsidR="0079019F">
        <w:rPr>
          <w:rFonts w:ascii="Arial" w:hAnsi="Arial" w:cs="Arial"/>
          <w:sz w:val="20"/>
          <w:szCs w:val="20"/>
        </w:rPr>
        <w:t>%</w:t>
      </w:r>
      <w:r w:rsidR="00E43486" w:rsidRPr="00D04794">
        <w:rPr>
          <w:rFonts w:ascii="Arial" w:hAnsi="Arial" w:cs="Arial"/>
          <w:sz w:val="20"/>
          <w:szCs w:val="20"/>
        </w:rPr>
        <w:t xml:space="preserve"> </w:t>
      </w:r>
      <w:r w:rsidR="0079019F">
        <w:rPr>
          <w:rFonts w:ascii="Arial" w:hAnsi="Arial" w:cs="Arial"/>
          <w:sz w:val="20"/>
          <w:szCs w:val="20"/>
        </w:rPr>
        <w:t>(</w:t>
      </w:r>
      <w:r w:rsidR="00103871">
        <w:rPr>
          <w:rFonts w:ascii="Arial" w:hAnsi="Arial" w:cs="Arial"/>
          <w:sz w:val="20"/>
          <w:szCs w:val="20"/>
        </w:rPr>
        <w:t>5.727.392</w:t>
      </w:r>
      <w:r w:rsidR="0079019F">
        <w:rPr>
          <w:rFonts w:ascii="Arial" w:hAnsi="Arial" w:cs="Arial"/>
          <w:sz w:val="20"/>
          <w:szCs w:val="20"/>
        </w:rPr>
        <w:t xml:space="preserve"> kn)</w:t>
      </w:r>
      <w:r w:rsidR="00E43486" w:rsidRPr="00D04794">
        <w:rPr>
          <w:rFonts w:ascii="Arial" w:hAnsi="Arial" w:cs="Arial"/>
          <w:sz w:val="20"/>
          <w:szCs w:val="20"/>
        </w:rPr>
        <w:t xml:space="preserve"> su </w:t>
      </w:r>
      <w:r w:rsidR="00ED4FC5">
        <w:rPr>
          <w:rFonts w:ascii="Arial" w:hAnsi="Arial" w:cs="Arial"/>
          <w:sz w:val="20"/>
          <w:szCs w:val="20"/>
        </w:rPr>
        <w:t>već</w:t>
      </w:r>
      <w:r w:rsidR="009D3D48">
        <w:rPr>
          <w:rFonts w:ascii="Arial" w:hAnsi="Arial" w:cs="Arial"/>
          <w:sz w:val="20"/>
          <w:szCs w:val="20"/>
        </w:rPr>
        <w:t>i</w:t>
      </w:r>
      <w:r w:rsidR="00E43486" w:rsidRPr="00D04794">
        <w:rPr>
          <w:rFonts w:ascii="Arial" w:hAnsi="Arial" w:cs="Arial"/>
          <w:sz w:val="20"/>
          <w:szCs w:val="20"/>
        </w:rPr>
        <w:t xml:space="preserve"> nego prethodne godine</w:t>
      </w:r>
      <w:r w:rsidR="00ED4FC5">
        <w:rPr>
          <w:rFonts w:ascii="Arial" w:hAnsi="Arial" w:cs="Arial"/>
          <w:sz w:val="20"/>
          <w:szCs w:val="20"/>
        </w:rPr>
        <w:t>,</w:t>
      </w:r>
      <w:r w:rsidR="00E43486" w:rsidRPr="00D04794">
        <w:rPr>
          <w:rFonts w:ascii="Arial" w:hAnsi="Arial" w:cs="Arial"/>
          <w:sz w:val="20"/>
          <w:szCs w:val="20"/>
        </w:rPr>
        <w:t xml:space="preserve"> a </w:t>
      </w:r>
      <w:r w:rsidR="00ED4FC5">
        <w:rPr>
          <w:rFonts w:ascii="Arial" w:hAnsi="Arial" w:cs="Arial"/>
          <w:sz w:val="20"/>
          <w:szCs w:val="20"/>
        </w:rPr>
        <w:t>8</w:t>
      </w:r>
      <w:r w:rsidR="00E43486" w:rsidRPr="00D04794">
        <w:rPr>
          <w:rFonts w:ascii="Arial" w:hAnsi="Arial" w:cs="Arial"/>
          <w:sz w:val="20"/>
          <w:szCs w:val="20"/>
        </w:rPr>
        <w:t xml:space="preserve">% </w:t>
      </w:r>
      <w:r w:rsidR="0079019F">
        <w:rPr>
          <w:rFonts w:ascii="Arial" w:hAnsi="Arial" w:cs="Arial"/>
          <w:sz w:val="20"/>
          <w:szCs w:val="20"/>
        </w:rPr>
        <w:t>manji</w:t>
      </w:r>
      <w:r w:rsidR="00E43486" w:rsidRPr="00D04794">
        <w:rPr>
          <w:rFonts w:ascii="Arial" w:hAnsi="Arial" w:cs="Arial"/>
          <w:sz w:val="20"/>
          <w:szCs w:val="20"/>
        </w:rPr>
        <w:t xml:space="preserve"> od plana. </w:t>
      </w:r>
      <w:r w:rsidR="00E43486" w:rsidRPr="006776F9">
        <w:rPr>
          <w:rFonts w:ascii="Arial" w:hAnsi="Arial" w:cs="Arial"/>
          <w:sz w:val="20"/>
          <w:szCs w:val="20"/>
        </w:rPr>
        <w:t>Odnose se na</w:t>
      </w:r>
      <w:r w:rsidR="002C37B5" w:rsidRPr="006776F9">
        <w:rPr>
          <w:rFonts w:ascii="Arial" w:hAnsi="Arial" w:cs="Arial"/>
          <w:sz w:val="20"/>
          <w:szCs w:val="20"/>
        </w:rPr>
        <w:t>:</w:t>
      </w:r>
    </w:p>
    <w:p w14:paraId="0F1CDFC3" w14:textId="49A9F85E" w:rsidR="00562FB4" w:rsidRDefault="00ED4FC5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kupnju građevinskih zemljišta</w:t>
      </w:r>
      <w:r w:rsidR="00562FB4">
        <w:rPr>
          <w:rFonts w:ascii="Arial" w:hAnsi="Arial" w:cs="Arial"/>
          <w:sz w:val="20"/>
          <w:szCs w:val="20"/>
        </w:rPr>
        <w:t xml:space="preserve"> u iznosu od </w:t>
      </w:r>
      <w:r>
        <w:rPr>
          <w:rFonts w:ascii="Arial" w:hAnsi="Arial" w:cs="Arial"/>
          <w:sz w:val="20"/>
          <w:szCs w:val="20"/>
        </w:rPr>
        <w:t>2.175.752</w:t>
      </w:r>
      <w:r w:rsidR="00562FB4">
        <w:rPr>
          <w:rFonts w:ascii="Arial" w:hAnsi="Arial" w:cs="Arial"/>
          <w:sz w:val="20"/>
          <w:szCs w:val="20"/>
        </w:rPr>
        <w:t xml:space="preserve"> kn,</w:t>
      </w:r>
    </w:p>
    <w:p w14:paraId="18AA1C5F" w14:textId="14AAB928" w:rsidR="00ED4FC5" w:rsidRDefault="00ED4FC5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uređenje krova Dječjeg vrtića 20.978 kn,</w:t>
      </w:r>
    </w:p>
    <w:p w14:paraId="61C0FB3A" w14:textId="04BA6AB6" w:rsidR="00562FB4" w:rsidRPr="00562FB4" w:rsidRDefault="00562FB4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uređenje kino-sale</w:t>
      </w:r>
      <w:r w:rsidRPr="00562FB4">
        <w:rPr>
          <w:rFonts w:ascii="Arial" w:hAnsi="Arial" w:cs="Arial"/>
          <w:sz w:val="20"/>
          <w:szCs w:val="20"/>
        </w:rPr>
        <w:t xml:space="preserve"> Doma kulture Korčula </w:t>
      </w:r>
      <w:r>
        <w:rPr>
          <w:rFonts w:ascii="Arial" w:hAnsi="Arial" w:cs="Arial"/>
          <w:sz w:val="20"/>
          <w:szCs w:val="20"/>
        </w:rPr>
        <w:t xml:space="preserve">u iznosu od </w:t>
      </w:r>
      <w:r w:rsidR="00E30A08">
        <w:rPr>
          <w:rFonts w:ascii="Arial" w:hAnsi="Arial" w:cs="Arial"/>
          <w:sz w:val="20"/>
          <w:szCs w:val="20"/>
        </w:rPr>
        <w:t>289.031</w:t>
      </w:r>
      <w:r w:rsidRPr="00562FB4">
        <w:rPr>
          <w:rFonts w:ascii="Arial" w:hAnsi="Arial" w:cs="Arial"/>
          <w:sz w:val="20"/>
          <w:szCs w:val="20"/>
        </w:rPr>
        <w:t xml:space="preserve"> kn,</w:t>
      </w:r>
    </w:p>
    <w:p w14:paraId="4372D389" w14:textId="47E5ECE4" w:rsidR="00562FB4" w:rsidRDefault="009D3D48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obnovu Doma kulture Korčula-novi prostori Gradske Knjižnice</w:t>
      </w:r>
      <w:r w:rsidR="00562FB4">
        <w:rPr>
          <w:rFonts w:ascii="Arial" w:hAnsi="Arial" w:cs="Arial"/>
          <w:sz w:val="20"/>
          <w:szCs w:val="20"/>
        </w:rPr>
        <w:t xml:space="preserve"> u iznosu od </w:t>
      </w:r>
      <w:r w:rsidR="00E30A08">
        <w:rPr>
          <w:rFonts w:ascii="Arial" w:hAnsi="Arial" w:cs="Arial"/>
          <w:sz w:val="20"/>
          <w:szCs w:val="20"/>
        </w:rPr>
        <w:t>219.827</w:t>
      </w:r>
      <w:r w:rsidR="00562FB4">
        <w:rPr>
          <w:rFonts w:ascii="Arial" w:hAnsi="Arial" w:cs="Arial"/>
          <w:sz w:val="20"/>
          <w:szCs w:val="20"/>
        </w:rPr>
        <w:t xml:space="preserve"> kn</w:t>
      </w:r>
    </w:p>
    <w:p w14:paraId="5ABDC397" w14:textId="5109EAC2" w:rsidR="00E30A08" w:rsidRDefault="00E30A08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uređenje ceste na GZ Lokva u iznosu 772.899 kn,</w:t>
      </w:r>
    </w:p>
    <w:p w14:paraId="1212006D" w14:textId="23C5DC12" w:rsidR="00562FB4" w:rsidRPr="00AE582A" w:rsidRDefault="00041740" w:rsidP="00AE582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dokumentacij</w:t>
      </w:r>
      <w:r w:rsidR="000559AF">
        <w:rPr>
          <w:rFonts w:ascii="Arial" w:hAnsi="Arial" w:cs="Arial"/>
          <w:sz w:val="20"/>
          <w:szCs w:val="20"/>
        </w:rPr>
        <w:t>u</w:t>
      </w:r>
      <w:r w:rsidR="00E30A08">
        <w:rPr>
          <w:rFonts w:ascii="Arial" w:hAnsi="Arial" w:cs="Arial"/>
          <w:sz w:val="20"/>
          <w:szCs w:val="20"/>
        </w:rPr>
        <w:t xml:space="preserve"> i radov</w:t>
      </w:r>
      <w:r w:rsidR="000559A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za </w:t>
      </w:r>
      <w:r w:rsidR="00562FB4" w:rsidRPr="00041740">
        <w:rPr>
          <w:rFonts w:ascii="Arial" w:hAnsi="Arial" w:cs="Arial"/>
          <w:sz w:val="20"/>
          <w:szCs w:val="20"/>
        </w:rPr>
        <w:t>vodovodn</w:t>
      </w:r>
      <w:r>
        <w:rPr>
          <w:rFonts w:ascii="Arial" w:hAnsi="Arial" w:cs="Arial"/>
          <w:sz w:val="20"/>
          <w:szCs w:val="20"/>
        </w:rPr>
        <w:t>u</w:t>
      </w:r>
      <w:r w:rsidR="00562FB4" w:rsidRPr="00041740">
        <w:rPr>
          <w:rFonts w:ascii="Arial" w:hAnsi="Arial" w:cs="Arial"/>
          <w:sz w:val="20"/>
          <w:szCs w:val="20"/>
        </w:rPr>
        <w:t xml:space="preserve"> i kanalizacijsk</w:t>
      </w:r>
      <w:r>
        <w:rPr>
          <w:rFonts w:ascii="Arial" w:hAnsi="Arial" w:cs="Arial"/>
          <w:sz w:val="20"/>
          <w:szCs w:val="20"/>
        </w:rPr>
        <w:t>u</w:t>
      </w:r>
      <w:r w:rsidR="00562FB4">
        <w:rPr>
          <w:rFonts w:ascii="Arial" w:hAnsi="Arial" w:cs="Arial"/>
          <w:sz w:val="20"/>
          <w:szCs w:val="20"/>
        </w:rPr>
        <w:t xml:space="preserve"> mrež</w:t>
      </w:r>
      <w:r>
        <w:rPr>
          <w:rFonts w:ascii="Arial" w:hAnsi="Arial" w:cs="Arial"/>
          <w:sz w:val="20"/>
          <w:szCs w:val="20"/>
        </w:rPr>
        <w:t>u</w:t>
      </w:r>
      <w:r w:rsidR="00E30A08">
        <w:rPr>
          <w:rFonts w:ascii="Arial" w:hAnsi="Arial" w:cs="Arial"/>
          <w:sz w:val="20"/>
          <w:szCs w:val="20"/>
        </w:rPr>
        <w:t xml:space="preserve"> GZ Lokve, Aglomeracije i PS</w:t>
      </w:r>
      <w:r w:rsidR="00AE582A">
        <w:rPr>
          <w:rFonts w:ascii="Arial" w:hAnsi="Arial" w:cs="Arial"/>
          <w:sz w:val="20"/>
          <w:szCs w:val="20"/>
        </w:rPr>
        <w:t xml:space="preserve"> Trstenik</w:t>
      </w:r>
      <w:r w:rsidR="00E30A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30A08">
        <w:rPr>
          <w:rFonts w:ascii="Arial" w:hAnsi="Arial" w:cs="Arial"/>
          <w:sz w:val="20"/>
          <w:szCs w:val="20"/>
        </w:rPr>
        <w:t>541.810</w:t>
      </w:r>
      <w:r w:rsidR="00562FB4">
        <w:rPr>
          <w:rFonts w:ascii="Arial" w:hAnsi="Arial" w:cs="Arial"/>
          <w:sz w:val="20"/>
          <w:szCs w:val="20"/>
        </w:rPr>
        <w:t xml:space="preserve"> kn,</w:t>
      </w:r>
    </w:p>
    <w:p w14:paraId="57A70A7F" w14:textId="0728900A" w:rsidR="00CD04C8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0C69AF">
        <w:rPr>
          <w:rFonts w:ascii="Arial" w:hAnsi="Arial" w:cs="Arial"/>
          <w:sz w:val="20"/>
          <w:szCs w:val="20"/>
        </w:rPr>
        <w:t xml:space="preserve">uređenje </w:t>
      </w:r>
      <w:r w:rsidR="009D3D48">
        <w:rPr>
          <w:rFonts w:ascii="Arial" w:hAnsi="Arial" w:cs="Arial"/>
          <w:sz w:val="20"/>
          <w:szCs w:val="20"/>
        </w:rPr>
        <w:t>dječj</w:t>
      </w:r>
      <w:r w:rsidR="00AE582A">
        <w:rPr>
          <w:rFonts w:ascii="Arial" w:hAnsi="Arial" w:cs="Arial"/>
          <w:sz w:val="20"/>
          <w:szCs w:val="20"/>
        </w:rPr>
        <w:t>ih</w:t>
      </w:r>
      <w:r w:rsidR="009D3D48">
        <w:rPr>
          <w:rFonts w:ascii="Arial" w:hAnsi="Arial" w:cs="Arial"/>
          <w:sz w:val="20"/>
          <w:szCs w:val="20"/>
        </w:rPr>
        <w:t xml:space="preserve"> </w:t>
      </w:r>
      <w:r w:rsidR="00AE582A">
        <w:rPr>
          <w:rFonts w:ascii="Arial" w:hAnsi="Arial" w:cs="Arial"/>
          <w:sz w:val="20"/>
          <w:szCs w:val="20"/>
        </w:rPr>
        <w:t xml:space="preserve">i sportskog </w:t>
      </w:r>
      <w:r w:rsidR="009D3D48">
        <w:rPr>
          <w:rFonts w:ascii="Arial" w:hAnsi="Arial" w:cs="Arial"/>
          <w:sz w:val="20"/>
          <w:szCs w:val="20"/>
        </w:rPr>
        <w:t>igrališta Žrnovska Banja</w:t>
      </w:r>
      <w:r w:rsidR="00AE582A">
        <w:rPr>
          <w:rFonts w:ascii="Arial" w:hAnsi="Arial" w:cs="Arial"/>
          <w:sz w:val="20"/>
          <w:szCs w:val="20"/>
        </w:rPr>
        <w:t>, Žrnovo i Zavalatica</w:t>
      </w:r>
      <w:r w:rsidRPr="000C69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iznosu od </w:t>
      </w:r>
      <w:r w:rsidR="00AE582A">
        <w:rPr>
          <w:rFonts w:ascii="Arial" w:hAnsi="Arial" w:cs="Arial"/>
          <w:sz w:val="20"/>
          <w:szCs w:val="20"/>
        </w:rPr>
        <w:t>286.117</w:t>
      </w:r>
      <w:r>
        <w:rPr>
          <w:rFonts w:ascii="Arial" w:hAnsi="Arial" w:cs="Arial"/>
          <w:sz w:val="20"/>
          <w:szCs w:val="20"/>
        </w:rPr>
        <w:t xml:space="preserve"> </w:t>
      </w:r>
      <w:r w:rsidRPr="000C69AF">
        <w:rPr>
          <w:rFonts w:ascii="Arial" w:hAnsi="Arial" w:cs="Arial"/>
          <w:sz w:val="20"/>
          <w:szCs w:val="20"/>
        </w:rPr>
        <w:t xml:space="preserve">kn, </w:t>
      </w:r>
    </w:p>
    <w:p w14:paraId="3E4A8D1E" w14:textId="60BA88F2" w:rsidR="000C69AF" w:rsidRDefault="007906DA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E6B6D">
        <w:rPr>
          <w:rFonts w:ascii="Arial" w:hAnsi="Arial" w:cs="Arial"/>
          <w:sz w:val="20"/>
          <w:szCs w:val="20"/>
        </w:rPr>
        <w:t>sanaciju</w:t>
      </w:r>
      <w:r w:rsidRPr="00CD04C8">
        <w:rPr>
          <w:rFonts w:ascii="Arial" w:hAnsi="Arial" w:cs="Arial"/>
          <w:sz w:val="20"/>
          <w:szCs w:val="20"/>
        </w:rPr>
        <w:t xml:space="preserve"> zgrade Gradskog Muzeja </w:t>
      </w:r>
      <w:r w:rsidR="009E6B6D">
        <w:rPr>
          <w:rFonts w:ascii="Arial" w:hAnsi="Arial" w:cs="Arial"/>
          <w:sz w:val="20"/>
          <w:szCs w:val="20"/>
        </w:rPr>
        <w:t>5.591.645</w:t>
      </w:r>
      <w:r w:rsidRPr="00CD04C8">
        <w:rPr>
          <w:rFonts w:ascii="Arial" w:hAnsi="Arial" w:cs="Arial"/>
          <w:sz w:val="20"/>
          <w:szCs w:val="20"/>
        </w:rPr>
        <w:t xml:space="preserve"> kn, </w:t>
      </w:r>
    </w:p>
    <w:p w14:paraId="4D148FB7" w14:textId="31D4FA5D" w:rsidR="00CD04C8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obnovu kul</w:t>
      </w:r>
      <w:r w:rsidR="002C37B5">
        <w:rPr>
          <w:rFonts w:ascii="Arial" w:hAnsi="Arial" w:cs="Arial"/>
          <w:sz w:val="20"/>
          <w:szCs w:val="20"/>
        </w:rPr>
        <w:t xml:space="preserve">e Marka Pola u iznosu od </w:t>
      </w:r>
      <w:r w:rsidR="009D3D48">
        <w:rPr>
          <w:rFonts w:ascii="Arial" w:hAnsi="Arial" w:cs="Arial"/>
          <w:sz w:val="20"/>
          <w:szCs w:val="20"/>
        </w:rPr>
        <w:t>1.</w:t>
      </w:r>
      <w:r w:rsidR="00B40CAC">
        <w:rPr>
          <w:rFonts w:ascii="Arial" w:hAnsi="Arial" w:cs="Arial"/>
          <w:sz w:val="20"/>
          <w:szCs w:val="20"/>
        </w:rPr>
        <w:t>930.867</w:t>
      </w:r>
      <w:r>
        <w:rPr>
          <w:rFonts w:ascii="Arial" w:hAnsi="Arial" w:cs="Arial"/>
          <w:sz w:val="20"/>
          <w:szCs w:val="20"/>
        </w:rPr>
        <w:t xml:space="preserve"> kn,</w:t>
      </w:r>
    </w:p>
    <w:p w14:paraId="28DA34D3" w14:textId="6F249B2E" w:rsidR="00CD04C8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0C69AF">
        <w:rPr>
          <w:rFonts w:ascii="Arial" w:hAnsi="Arial" w:cs="Arial"/>
          <w:sz w:val="20"/>
          <w:szCs w:val="20"/>
        </w:rPr>
        <w:t xml:space="preserve">obnovu Južnog zida </w:t>
      </w:r>
      <w:r>
        <w:rPr>
          <w:rFonts w:ascii="Arial" w:hAnsi="Arial" w:cs="Arial"/>
          <w:sz w:val="20"/>
          <w:szCs w:val="20"/>
        </w:rPr>
        <w:t xml:space="preserve">u iznosu od </w:t>
      </w:r>
      <w:r w:rsidR="00B40CAC">
        <w:rPr>
          <w:rFonts w:ascii="Arial" w:hAnsi="Arial" w:cs="Arial"/>
          <w:sz w:val="20"/>
          <w:szCs w:val="20"/>
        </w:rPr>
        <w:t>169.375</w:t>
      </w:r>
      <w:r w:rsidRPr="000C69AF">
        <w:rPr>
          <w:rFonts w:ascii="Arial" w:hAnsi="Arial" w:cs="Arial"/>
          <w:sz w:val="20"/>
          <w:szCs w:val="20"/>
        </w:rPr>
        <w:t xml:space="preserve"> kn, </w:t>
      </w:r>
    </w:p>
    <w:p w14:paraId="6A6229CC" w14:textId="0D1917C4" w:rsidR="009E6B6D" w:rsidRDefault="009E6B6D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širenje mreže javne rasvjete 118.669 kn,</w:t>
      </w:r>
    </w:p>
    <w:p w14:paraId="56295838" w14:textId="58D30631" w:rsidR="00CD04C8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33113D">
        <w:rPr>
          <w:rFonts w:ascii="Arial" w:hAnsi="Arial" w:cs="Arial"/>
          <w:sz w:val="20"/>
          <w:szCs w:val="20"/>
        </w:rPr>
        <w:t>uredsku</w:t>
      </w:r>
      <w:r w:rsidR="00213E6C">
        <w:rPr>
          <w:rFonts w:ascii="Arial" w:hAnsi="Arial" w:cs="Arial"/>
          <w:sz w:val="20"/>
          <w:szCs w:val="20"/>
        </w:rPr>
        <w:t>, računalnu</w:t>
      </w:r>
      <w:r w:rsidRPr="0033113D">
        <w:rPr>
          <w:rFonts w:ascii="Arial" w:hAnsi="Arial" w:cs="Arial"/>
          <w:sz w:val="20"/>
          <w:szCs w:val="20"/>
        </w:rPr>
        <w:t xml:space="preserve"> opremu</w:t>
      </w:r>
      <w:r>
        <w:rPr>
          <w:rFonts w:ascii="Arial" w:hAnsi="Arial" w:cs="Arial"/>
          <w:sz w:val="20"/>
          <w:szCs w:val="20"/>
        </w:rPr>
        <w:t xml:space="preserve"> i namješta</w:t>
      </w:r>
      <w:r w:rsidR="00213E6C">
        <w:rPr>
          <w:rFonts w:ascii="Arial" w:hAnsi="Arial" w:cs="Arial"/>
          <w:sz w:val="20"/>
          <w:szCs w:val="20"/>
        </w:rPr>
        <w:t>j</w:t>
      </w:r>
      <w:r w:rsidR="00324AAE">
        <w:rPr>
          <w:rFonts w:ascii="Arial" w:hAnsi="Arial" w:cs="Arial"/>
          <w:sz w:val="20"/>
          <w:szCs w:val="20"/>
        </w:rPr>
        <w:t>,</w:t>
      </w:r>
      <w:r w:rsidR="00213E6C">
        <w:rPr>
          <w:rFonts w:ascii="Arial" w:hAnsi="Arial" w:cs="Arial"/>
          <w:sz w:val="20"/>
          <w:szCs w:val="20"/>
        </w:rPr>
        <w:t xml:space="preserve"> te </w:t>
      </w:r>
      <w:r w:rsidR="00324AAE">
        <w:rPr>
          <w:rFonts w:ascii="Arial" w:hAnsi="Arial" w:cs="Arial"/>
          <w:sz w:val="20"/>
          <w:szCs w:val="20"/>
        </w:rPr>
        <w:t xml:space="preserve">raznu </w:t>
      </w:r>
      <w:r w:rsidR="00213E6C">
        <w:rPr>
          <w:rFonts w:ascii="Arial" w:hAnsi="Arial" w:cs="Arial"/>
          <w:sz w:val="20"/>
          <w:szCs w:val="20"/>
        </w:rPr>
        <w:t>opremu 158.832</w:t>
      </w:r>
      <w:r>
        <w:rPr>
          <w:rFonts w:ascii="Arial" w:hAnsi="Arial" w:cs="Arial"/>
          <w:sz w:val="20"/>
          <w:szCs w:val="20"/>
        </w:rPr>
        <w:t xml:space="preserve"> kn,</w:t>
      </w:r>
    </w:p>
    <w:p w14:paraId="5D236721" w14:textId="78986EB6" w:rsidR="00213E6C" w:rsidRDefault="00324AAE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strojeve (sjeckalica i mobilno reciklažno dvorište)</w:t>
      </w:r>
      <w:r w:rsidR="000559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 bicikli 520.637 kn,</w:t>
      </w:r>
    </w:p>
    <w:p w14:paraId="0B2A46D2" w14:textId="795755DC" w:rsidR="00CD04C8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0C69AF">
        <w:rPr>
          <w:rFonts w:ascii="Arial" w:hAnsi="Arial" w:cs="Arial"/>
          <w:sz w:val="20"/>
          <w:szCs w:val="20"/>
        </w:rPr>
        <w:t>knjige u Knj</w:t>
      </w:r>
      <w:r>
        <w:rPr>
          <w:rFonts w:ascii="Arial" w:hAnsi="Arial" w:cs="Arial"/>
          <w:sz w:val="20"/>
          <w:szCs w:val="20"/>
        </w:rPr>
        <w:t xml:space="preserve">ižnici i muzejski izlošci </w:t>
      </w:r>
      <w:r w:rsidR="008D16EC">
        <w:rPr>
          <w:rFonts w:ascii="Arial" w:hAnsi="Arial" w:cs="Arial"/>
          <w:sz w:val="20"/>
          <w:szCs w:val="20"/>
        </w:rPr>
        <w:t>135.378</w:t>
      </w:r>
      <w:r w:rsidRPr="000C69AF">
        <w:rPr>
          <w:rFonts w:ascii="Arial" w:hAnsi="Arial" w:cs="Arial"/>
          <w:sz w:val="20"/>
          <w:szCs w:val="20"/>
        </w:rPr>
        <w:t xml:space="preserve"> kn</w:t>
      </w:r>
      <w:r w:rsidR="00A01F8A">
        <w:rPr>
          <w:rFonts w:ascii="Arial" w:hAnsi="Arial" w:cs="Arial"/>
          <w:sz w:val="20"/>
          <w:szCs w:val="20"/>
        </w:rPr>
        <w:t>,</w:t>
      </w:r>
    </w:p>
    <w:p w14:paraId="6FEB9E08" w14:textId="145637BD" w:rsidR="00A01F8A" w:rsidRPr="00CD04C8" w:rsidRDefault="00425DF0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ulaganja u računalne programe i digitalni postav muzeja Marka Pola 466.261 kn</w:t>
      </w:r>
      <w:r w:rsidR="00A01F8A">
        <w:rPr>
          <w:rFonts w:ascii="Arial" w:hAnsi="Arial" w:cs="Arial"/>
          <w:sz w:val="20"/>
          <w:szCs w:val="20"/>
        </w:rPr>
        <w:t>,</w:t>
      </w:r>
    </w:p>
    <w:p w14:paraId="3D1A9E81" w14:textId="697E89F8" w:rsidR="000C69AF" w:rsidRDefault="00E43486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0C69AF">
        <w:rPr>
          <w:rFonts w:ascii="Arial" w:hAnsi="Arial" w:cs="Arial"/>
          <w:sz w:val="20"/>
          <w:szCs w:val="20"/>
        </w:rPr>
        <w:t>raznu dokumentaciju za projekte</w:t>
      </w:r>
      <w:r w:rsidR="008D39DE">
        <w:rPr>
          <w:rFonts w:ascii="Arial" w:hAnsi="Arial" w:cs="Arial"/>
          <w:sz w:val="20"/>
          <w:szCs w:val="20"/>
        </w:rPr>
        <w:t xml:space="preserve"> Grada</w:t>
      </w:r>
      <w:r w:rsidR="00425DF0">
        <w:rPr>
          <w:rFonts w:ascii="Arial" w:hAnsi="Arial" w:cs="Arial"/>
          <w:sz w:val="20"/>
          <w:szCs w:val="20"/>
        </w:rPr>
        <w:t xml:space="preserve"> </w:t>
      </w:r>
      <w:r w:rsidR="00BB00E1">
        <w:rPr>
          <w:rFonts w:ascii="Arial" w:hAnsi="Arial" w:cs="Arial"/>
          <w:sz w:val="20"/>
          <w:szCs w:val="20"/>
        </w:rPr>
        <w:t>i prostorne</w:t>
      </w:r>
      <w:r w:rsidR="00A01F8A">
        <w:rPr>
          <w:rFonts w:ascii="Arial" w:hAnsi="Arial" w:cs="Arial"/>
          <w:sz w:val="20"/>
          <w:szCs w:val="20"/>
        </w:rPr>
        <w:t xml:space="preserve"> planove </w:t>
      </w:r>
      <w:r w:rsidRPr="000C69AF">
        <w:rPr>
          <w:rFonts w:ascii="Arial" w:hAnsi="Arial" w:cs="Arial"/>
          <w:sz w:val="20"/>
          <w:szCs w:val="20"/>
        </w:rPr>
        <w:t xml:space="preserve">Grada </w:t>
      </w:r>
      <w:r w:rsidR="008D39DE">
        <w:rPr>
          <w:rFonts w:ascii="Arial" w:hAnsi="Arial" w:cs="Arial"/>
          <w:sz w:val="20"/>
          <w:szCs w:val="20"/>
        </w:rPr>
        <w:t>65</w:t>
      </w:r>
      <w:r w:rsidR="00F37BEF">
        <w:rPr>
          <w:rFonts w:ascii="Arial" w:hAnsi="Arial" w:cs="Arial"/>
          <w:sz w:val="20"/>
          <w:szCs w:val="20"/>
        </w:rPr>
        <w:t>6.754</w:t>
      </w:r>
      <w:r w:rsidR="007906DA" w:rsidRPr="000C69AF">
        <w:rPr>
          <w:rFonts w:ascii="Arial" w:hAnsi="Arial" w:cs="Arial"/>
          <w:sz w:val="20"/>
          <w:szCs w:val="20"/>
        </w:rPr>
        <w:t xml:space="preserve"> kn</w:t>
      </w:r>
      <w:r w:rsidRPr="000C69AF">
        <w:rPr>
          <w:rFonts w:ascii="Arial" w:hAnsi="Arial" w:cs="Arial"/>
          <w:sz w:val="20"/>
          <w:szCs w:val="20"/>
        </w:rPr>
        <w:t>,</w:t>
      </w:r>
      <w:r w:rsidR="007906DA" w:rsidRPr="000C69AF">
        <w:rPr>
          <w:rFonts w:ascii="Arial" w:hAnsi="Arial" w:cs="Arial"/>
          <w:sz w:val="20"/>
          <w:szCs w:val="20"/>
        </w:rPr>
        <w:t xml:space="preserve"> </w:t>
      </w:r>
    </w:p>
    <w:p w14:paraId="4CFF0D5D" w14:textId="057E30E8" w:rsidR="008D39DE" w:rsidRDefault="008D39DE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plivački semafor na Bazenu u iznosu od 149.625 kn,</w:t>
      </w:r>
    </w:p>
    <w:p w14:paraId="5526DBEB" w14:textId="3A4E5237" w:rsidR="008D39DE" w:rsidRDefault="008D39DE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rekonstrukcij</w:t>
      </w:r>
      <w:r w:rsidR="000559A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ceste kod Pastoralnog centra </w:t>
      </w:r>
      <w:r w:rsidR="00B74C5C">
        <w:rPr>
          <w:rFonts w:ascii="Arial" w:hAnsi="Arial" w:cs="Arial"/>
          <w:sz w:val="20"/>
          <w:szCs w:val="20"/>
        </w:rPr>
        <w:t>406.541 kn,</w:t>
      </w:r>
    </w:p>
    <w:p w14:paraId="697DBDD8" w14:textId="4337E71C" w:rsidR="00B74C5C" w:rsidRDefault="00B74C5C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uređenje šetališta Tina Ujevića 2.437.150 kn te</w:t>
      </w:r>
    </w:p>
    <w:p w14:paraId="721D37BC" w14:textId="26C4FB0E" w:rsidR="00B74C5C" w:rsidRDefault="00B74C5C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sanacij</w:t>
      </w:r>
      <w:r w:rsidR="007410B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rive na Vrniku u iznosu od 518.810 kn.</w:t>
      </w:r>
    </w:p>
    <w:p w14:paraId="33DBC352" w14:textId="1BA8B189" w:rsidR="00E43486" w:rsidRDefault="00E43486" w:rsidP="00B74C5C">
      <w:pPr>
        <w:ind w:right="57"/>
        <w:jc w:val="both"/>
        <w:rPr>
          <w:rFonts w:ascii="Arial" w:hAnsi="Arial" w:cs="Arial"/>
          <w:sz w:val="20"/>
          <w:szCs w:val="20"/>
        </w:rPr>
      </w:pPr>
      <w:r w:rsidRPr="006776F9">
        <w:rPr>
          <w:rFonts w:ascii="Arial" w:hAnsi="Arial" w:cs="Arial"/>
          <w:sz w:val="20"/>
          <w:szCs w:val="20"/>
        </w:rPr>
        <w:t>Iznos ostvarenja</w:t>
      </w:r>
      <w:r w:rsidRPr="00D04794">
        <w:rPr>
          <w:rFonts w:ascii="Arial" w:hAnsi="Arial" w:cs="Arial"/>
          <w:sz w:val="20"/>
          <w:szCs w:val="20"/>
        </w:rPr>
        <w:t xml:space="preserve"> rashoda ovog razreda koji se odnosi na proračunske korisnike </w:t>
      </w:r>
      <w:r w:rsidR="00856923" w:rsidRPr="00D04794">
        <w:rPr>
          <w:rFonts w:ascii="Arial" w:hAnsi="Arial" w:cs="Arial"/>
          <w:sz w:val="20"/>
          <w:szCs w:val="20"/>
        </w:rPr>
        <w:t>iz</w:t>
      </w:r>
      <w:r w:rsidR="00BB00E1">
        <w:rPr>
          <w:rFonts w:ascii="Arial" w:hAnsi="Arial" w:cs="Arial"/>
          <w:sz w:val="20"/>
          <w:szCs w:val="20"/>
        </w:rPr>
        <w:t xml:space="preserve">nosi </w:t>
      </w:r>
      <w:r w:rsidR="00DF57ED">
        <w:rPr>
          <w:rFonts w:ascii="Arial" w:hAnsi="Arial" w:cs="Arial"/>
          <w:sz w:val="20"/>
          <w:szCs w:val="20"/>
        </w:rPr>
        <w:t>281.747</w:t>
      </w:r>
      <w:r w:rsidR="006776F9">
        <w:rPr>
          <w:rFonts w:ascii="Arial" w:hAnsi="Arial" w:cs="Arial"/>
          <w:sz w:val="20"/>
          <w:szCs w:val="20"/>
        </w:rPr>
        <w:t xml:space="preserve"> kn.</w:t>
      </w:r>
    </w:p>
    <w:p w14:paraId="10E0FD68" w14:textId="77777777" w:rsidR="006776F9" w:rsidRPr="00D04794" w:rsidRDefault="006776F9" w:rsidP="00E43486">
      <w:pPr>
        <w:ind w:right="57" w:firstLine="720"/>
        <w:jc w:val="both"/>
        <w:rPr>
          <w:rFonts w:ascii="Arial" w:hAnsi="Arial" w:cs="Arial"/>
          <w:sz w:val="20"/>
          <w:szCs w:val="20"/>
        </w:rPr>
      </w:pPr>
    </w:p>
    <w:p w14:paraId="1277B94F" w14:textId="5A8B1F38" w:rsidR="00E6461B" w:rsidRDefault="00262333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="00E43486" w:rsidRPr="00906B08">
        <w:rPr>
          <w:rFonts w:ascii="Arial" w:hAnsi="Arial" w:cs="Arial"/>
          <w:b/>
          <w:bCs/>
          <w:sz w:val="20"/>
          <w:szCs w:val="20"/>
          <w:u w:val="single"/>
        </w:rPr>
        <w:t>Izdaci za financijsku</w:t>
      </w:r>
      <w:r w:rsidR="00E43486" w:rsidRPr="00D04794">
        <w:rPr>
          <w:rFonts w:ascii="Arial" w:hAnsi="Arial" w:cs="Arial"/>
          <w:b/>
          <w:bCs/>
          <w:sz w:val="20"/>
          <w:szCs w:val="20"/>
          <w:u w:val="single"/>
        </w:rPr>
        <w:t xml:space="preserve"> imovinu i otplate zajmova</w:t>
      </w:r>
      <w:r w:rsidR="00E43486" w:rsidRPr="00D04794">
        <w:rPr>
          <w:rFonts w:ascii="Arial" w:hAnsi="Arial" w:cs="Arial"/>
          <w:b/>
          <w:bCs/>
          <w:sz w:val="20"/>
          <w:szCs w:val="20"/>
        </w:rPr>
        <w:t xml:space="preserve"> (razred 5)</w:t>
      </w:r>
      <w:r w:rsidR="00E43486" w:rsidRPr="00D04794">
        <w:rPr>
          <w:rFonts w:ascii="Arial" w:hAnsi="Arial" w:cs="Arial"/>
          <w:sz w:val="20"/>
          <w:szCs w:val="20"/>
        </w:rPr>
        <w:t xml:space="preserve"> </w:t>
      </w:r>
      <w:r w:rsidR="00F24226">
        <w:rPr>
          <w:rFonts w:ascii="Arial" w:hAnsi="Arial" w:cs="Arial"/>
          <w:sz w:val="20"/>
          <w:szCs w:val="20"/>
        </w:rPr>
        <w:t xml:space="preserve">iznose </w:t>
      </w:r>
      <w:r w:rsidR="00F24226" w:rsidRPr="007410B7">
        <w:rPr>
          <w:rFonts w:ascii="Arial" w:hAnsi="Arial" w:cs="Arial"/>
          <w:b/>
          <w:bCs/>
          <w:sz w:val="20"/>
          <w:szCs w:val="20"/>
        </w:rPr>
        <w:t>1.</w:t>
      </w:r>
      <w:r w:rsidR="007410B7" w:rsidRPr="007410B7">
        <w:rPr>
          <w:rFonts w:ascii="Arial" w:hAnsi="Arial" w:cs="Arial"/>
          <w:b/>
          <w:bCs/>
          <w:sz w:val="20"/>
          <w:szCs w:val="20"/>
        </w:rPr>
        <w:t>076.121</w:t>
      </w:r>
      <w:r w:rsidR="00F24226">
        <w:rPr>
          <w:rFonts w:ascii="Arial" w:hAnsi="Arial" w:cs="Arial"/>
          <w:sz w:val="20"/>
          <w:szCs w:val="20"/>
        </w:rPr>
        <w:t xml:space="preserve"> kn i </w:t>
      </w:r>
      <w:r w:rsidR="007410B7">
        <w:rPr>
          <w:rFonts w:ascii="Arial" w:hAnsi="Arial" w:cs="Arial"/>
          <w:sz w:val="20"/>
          <w:szCs w:val="20"/>
        </w:rPr>
        <w:t>manj</w:t>
      </w:r>
      <w:r w:rsidR="00F24226" w:rsidRPr="00F24226">
        <w:rPr>
          <w:rFonts w:ascii="Arial" w:hAnsi="Arial" w:cs="Arial"/>
          <w:sz w:val="20"/>
          <w:szCs w:val="20"/>
        </w:rPr>
        <w:t xml:space="preserve">i su u odnosu na prethodnu godinu za iznos </w:t>
      </w:r>
      <w:r w:rsidR="007410B7">
        <w:rPr>
          <w:rFonts w:ascii="Arial" w:hAnsi="Arial" w:cs="Arial"/>
          <w:sz w:val="20"/>
          <w:szCs w:val="20"/>
        </w:rPr>
        <w:t xml:space="preserve">407.879 kn (27%). </w:t>
      </w:r>
      <w:bookmarkStart w:id="0" w:name="_Hlk104375411"/>
      <w:r w:rsidR="001E71B0">
        <w:rPr>
          <w:rFonts w:ascii="Arial" w:hAnsi="Arial" w:cs="Arial"/>
          <w:sz w:val="20"/>
          <w:szCs w:val="20"/>
        </w:rPr>
        <w:t>Izdaci od 367.000 kn odnose se na otplatu dugoročnog kredita Zagrebačke banke d.d., koji je u ovom razdoblju u cijelosti otplaćen.</w:t>
      </w:r>
      <w:r w:rsidR="00E91A7D">
        <w:rPr>
          <w:rFonts w:ascii="Arial" w:hAnsi="Arial" w:cs="Arial"/>
          <w:sz w:val="20"/>
          <w:szCs w:val="20"/>
        </w:rPr>
        <w:t xml:space="preserve"> Započela je otplata </w:t>
      </w:r>
      <w:r w:rsidR="00E6461B">
        <w:rPr>
          <w:rFonts w:ascii="Arial" w:hAnsi="Arial" w:cs="Arial"/>
          <w:sz w:val="20"/>
          <w:szCs w:val="20"/>
        </w:rPr>
        <w:t xml:space="preserve">glavnice </w:t>
      </w:r>
      <w:r w:rsidR="00E91A7D">
        <w:rPr>
          <w:rFonts w:ascii="Arial" w:hAnsi="Arial" w:cs="Arial"/>
          <w:sz w:val="20"/>
          <w:szCs w:val="20"/>
        </w:rPr>
        <w:t>dugoročnog kredita HBOR-a za Projekte Grada, koja iznosi 698.892 kn</w:t>
      </w:r>
      <w:r w:rsidR="00E6461B">
        <w:rPr>
          <w:rFonts w:ascii="Arial" w:hAnsi="Arial" w:cs="Arial"/>
          <w:sz w:val="20"/>
          <w:szCs w:val="20"/>
        </w:rPr>
        <w:t>. I</w:t>
      </w:r>
      <w:r w:rsidR="00E91A7D">
        <w:rPr>
          <w:rFonts w:ascii="Arial" w:hAnsi="Arial" w:cs="Arial"/>
          <w:sz w:val="20"/>
          <w:szCs w:val="20"/>
        </w:rPr>
        <w:t>znos je otplaćen refundiranim bespovratnim sredstvima EU, prema Zahtjevima za nadokandom sredstava</w:t>
      </w:r>
      <w:r w:rsidR="008A28D6">
        <w:rPr>
          <w:rFonts w:ascii="Arial" w:hAnsi="Arial" w:cs="Arial"/>
          <w:sz w:val="20"/>
          <w:szCs w:val="20"/>
        </w:rPr>
        <w:t>,</w:t>
      </w:r>
      <w:r w:rsidR="00E91A7D">
        <w:rPr>
          <w:rFonts w:ascii="Arial" w:hAnsi="Arial" w:cs="Arial"/>
          <w:sz w:val="20"/>
          <w:szCs w:val="20"/>
        </w:rPr>
        <w:t xml:space="preserve"> </w:t>
      </w:r>
      <w:r w:rsidR="00E6461B">
        <w:rPr>
          <w:rFonts w:ascii="Arial" w:hAnsi="Arial" w:cs="Arial"/>
          <w:sz w:val="20"/>
          <w:szCs w:val="20"/>
        </w:rPr>
        <w:t xml:space="preserve">kreditom </w:t>
      </w:r>
      <w:r w:rsidR="00E91A7D">
        <w:rPr>
          <w:rFonts w:ascii="Arial" w:hAnsi="Arial" w:cs="Arial"/>
          <w:sz w:val="20"/>
          <w:szCs w:val="20"/>
        </w:rPr>
        <w:t>plaćenih računa dobavljača.</w:t>
      </w:r>
      <w:r w:rsidR="00F24226" w:rsidRPr="00F24226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01039F0D" w14:textId="1C0D9076" w:rsidR="00E6461B" w:rsidRPr="008A28D6" w:rsidRDefault="00E6461B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8D6">
        <w:rPr>
          <w:rFonts w:ascii="Arial" w:hAnsi="Arial" w:cs="Arial"/>
          <w:sz w:val="20"/>
          <w:szCs w:val="20"/>
        </w:rPr>
        <w:t>Izdaci za otplatu glavnice</w:t>
      </w:r>
      <w:r w:rsidR="00565086">
        <w:rPr>
          <w:rFonts w:ascii="Arial" w:hAnsi="Arial" w:cs="Arial"/>
          <w:sz w:val="20"/>
          <w:szCs w:val="20"/>
        </w:rPr>
        <w:t xml:space="preserve"> odobrenog</w:t>
      </w:r>
      <w:r w:rsidR="008A28D6" w:rsidRPr="008A28D6">
        <w:rPr>
          <w:rFonts w:ascii="Arial" w:hAnsi="Arial" w:cs="Arial"/>
          <w:sz w:val="20"/>
          <w:szCs w:val="20"/>
        </w:rPr>
        <w:t xml:space="preserve"> beskamatnog </w:t>
      </w:r>
      <w:r w:rsidR="00565086">
        <w:rPr>
          <w:rFonts w:ascii="Arial" w:hAnsi="Arial" w:cs="Arial"/>
          <w:sz w:val="20"/>
          <w:szCs w:val="20"/>
        </w:rPr>
        <w:t>zajma</w:t>
      </w:r>
      <w:r w:rsidR="008A28D6" w:rsidRPr="008A28D6">
        <w:rPr>
          <w:rFonts w:ascii="Arial" w:eastAsia="Times New Roman" w:hAnsi="Arial" w:cs="Arial"/>
          <w:sz w:val="20"/>
          <w:szCs w:val="20"/>
        </w:rPr>
        <w:t xml:space="preserve"> Ministarstva financija, s</w:t>
      </w:r>
      <w:r w:rsidR="008A28D6" w:rsidRPr="008A28D6">
        <w:rPr>
          <w:rFonts w:ascii="Arial" w:hAnsi="Arial" w:cs="Arial"/>
          <w:sz w:val="20"/>
          <w:szCs w:val="20"/>
          <w:lang w:eastAsia="hr-HR"/>
        </w:rPr>
        <w:t>ukladno Naputku o načinu isplate beskamatnog zajma JLP(R)S, HZMO i HZZO</w:t>
      </w:r>
      <w:r w:rsidR="00565086">
        <w:rPr>
          <w:rFonts w:ascii="Arial" w:hAnsi="Arial" w:cs="Arial"/>
          <w:sz w:val="20"/>
          <w:szCs w:val="20"/>
          <w:lang w:eastAsia="hr-HR"/>
        </w:rPr>
        <w:t>, izvršeni su u iznosu od 10.229 kn.</w:t>
      </w:r>
    </w:p>
    <w:p w14:paraId="17D95151" w14:textId="77777777" w:rsidR="00AF3530" w:rsidRDefault="00AF3530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4161F" w14:textId="2E699175" w:rsidR="00F24226" w:rsidRDefault="00F24226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ov</w:t>
      </w:r>
      <w:r w:rsidR="00AF3530">
        <w:rPr>
          <w:rFonts w:ascii="Arial" w:hAnsi="Arial" w:cs="Arial"/>
          <w:sz w:val="20"/>
          <w:szCs w:val="20"/>
        </w:rPr>
        <w:t>ih izdataka</w:t>
      </w:r>
      <w:r>
        <w:rPr>
          <w:rFonts w:ascii="Arial" w:hAnsi="Arial" w:cs="Arial"/>
          <w:sz w:val="20"/>
          <w:szCs w:val="20"/>
        </w:rPr>
        <w:t xml:space="preserve"> manje je za </w:t>
      </w:r>
      <w:r w:rsidR="00565086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% od plan</w:t>
      </w:r>
      <w:r w:rsidR="00AF3530">
        <w:rPr>
          <w:rFonts w:ascii="Arial" w:hAnsi="Arial" w:cs="Arial"/>
          <w:sz w:val="20"/>
          <w:szCs w:val="20"/>
        </w:rPr>
        <w:t>om predviđenih</w:t>
      </w:r>
      <w:r w:rsidR="00127D4F">
        <w:rPr>
          <w:rFonts w:ascii="Arial" w:hAnsi="Arial" w:cs="Arial"/>
          <w:sz w:val="20"/>
          <w:szCs w:val="20"/>
        </w:rPr>
        <w:t>, radi nerealiziranih prihoda pomoći, temeljem Zahtjeva za nadoknadom sredstava po plaćenim računima dobavljača, kojima bi se prihodima otplaćivala glavnica kredita HBOR-a za Projekte</w:t>
      </w:r>
      <w:r w:rsidR="00AF3530">
        <w:rPr>
          <w:rFonts w:ascii="Arial" w:hAnsi="Arial" w:cs="Arial"/>
          <w:sz w:val="20"/>
          <w:szCs w:val="20"/>
        </w:rPr>
        <w:t>.</w:t>
      </w:r>
    </w:p>
    <w:p w14:paraId="04CF4F50" w14:textId="20225DEC" w:rsidR="00AF3530" w:rsidRDefault="00AF3530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9E081" w14:textId="1BA6906E" w:rsidR="00AF3530" w:rsidRDefault="00AF3530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FF7E16" w14:textId="6794FFAF" w:rsidR="00AF3530" w:rsidRDefault="00AF3530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21D9C7" w14:textId="5FAC9523" w:rsidR="00AF3530" w:rsidRDefault="00AF3530" w:rsidP="00E6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A841A8" w14:textId="77777777" w:rsidR="00AF3530" w:rsidRDefault="00AF3530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</w:p>
    <w:p w14:paraId="3E20F88A" w14:textId="207C17DF" w:rsidR="00EB5F45" w:rsidRPr="00D04794" w:rsidRDefault="00EB5F45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  <w:r w:rsidRPr="00906B08">
        <w:rPr>
          <w:rFonts w:ascii="Arial" w:hAnsi="Arial" w:cs="Arial"/>
          <w:b/>
          <w:i/>
          <w:sz w:val="20"/>
          <w:szCs w:val="20"/>
        </w:rPr>
        <w:t>Preneseni višak</w:t>
      </w:r>
      <w:r w:rsidRPr="00776AF3">
        <w:rPr>
          <w:rFonts w:ascii="Arial" w:hAnsi="Arial" w:cs="Arial"/>
          <w:b/>
          <w:i/>
          <w:sz w:val="20"/>
          <w:szCs w:val="20"/>
        </w:rPr>
        <w:t xml:space="preserve"> / manjak</w:t>
      </w:r>
      <w:r w:rsidRPr="00D04794">
        <w:rPr>
          <w:rFonts w:ascii="Arial" w:hAnsi="Arial" w:cs="Arial"/>
          <w:b/>
          <w:i/>
          <w:sz w:val="20"/>
          <w:szCs w:val="20"/>
        </w:rPr>
        <w:t xml:space="preserve"> korisnika Proračuna iz 20</w:t>
      </w:r>
      <w:r w:rsidR="001B624B">
        <w:rPr>
          <w:rFonts w:ascii="Arial" w:hAnsi="Arial" w:cs="Arial"/>
          <w:b/>
          <w:i/>
          <w:sz w:val="20"/>
          <w:szCs w:val="20"/>
        </w:rPr>
        <w:t>20</w:t>
      </w:r>
      <w:r w:rsidRPr="00D04794">
        <w:rPr>
          <w:rFonts w:ascii="Arial" w:hAnsi="Arial" w:cs="Arial"/>
          <w:b/>
          <w:i/>
          <w:sz w:val="20"/>
          <w:szCs w:val="20"/>
        </w:rPr>
        <w:t>. godine</w:t>
      </w:r>
    </w:p>
    <w:tbl>
      <w:tblPr>
        <w:tblW w:w="0" w:type="auto"/>
        <w:tblInd w:w="95" w:type="dxa"/>
        <w:tblLayout w:type="fixed"/>
        <w:tblLook w:val="00A0" w:firstRow="1" w:lastRow="0" w:firstColumn="1" w:lastColumn="0" w:noHBand="0" w:noVBand="0"/>
      </w:tblPr>
      <w:tblGrid>
        <w:gridCol w:w="3646"/>
        <w:gridCol w:w="2368"/>
      </w:tblGrid>
      <w:tr w:rsidR="00EB5F45" w:rsidRPr="001A6164" w14:paraId="51713058" w14:textId="77777777" w:rsidTr="00CD44B8">
        <w:trPr>
          <w:trHeight w:val="56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ACFA" w14:textId="77777777" w:rsidR="00EB5F45" w:rsidRPr="00900EE6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900EE6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9EBB" w14:textId="40A1A377" w:rsidR="00EB5F45" w:rsidRPr="00900EE6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900EE6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PRENESENI VIŠAK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900EE6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/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900EE6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MANJAK IZ 20</w:t>
            </w:r>
            <w:r w:rsidR="001B624B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20</w:t>
            </w:r>
            <w:r w:rsidRPr="00900EE6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.GOD.</w:t>
            </w:r>
          </w:p>
        </w:tc>
      </w:tr>
      <w:tr w:rsidR="00EB5F45" w:rsidRPr="001A6164" w14:paraId="06D6AE8E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87396" w14:textId="77777777" w:rsidR="00EB5F45" w:rsidRPr="004776CD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7369B" w14:textId="73D6D0C7" w:rsidR="00EB5F45" w:rsidRPr="004776CD" w:rsidRDefault="00EB5F45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-</w:t>
            </w:r>
            <w:r w:rsidR="001B624B">
              <w:rPr>
                <w:rFonts w:ascii="Arial" w:hAnsi="Arial" w:cs="Arial"/>
                <w:sz w:val="18"/>
                <w:szCs w:val="18"/>
                <w:lang w:eastAsia="hr-HR"/>
              </w:rPr>
              <w:t>4.237.042</w:t>
            </w:r>
          </w:p>
        </w:tc>
      </w:tr>
      <w:tr w:rsidR="00EB5F45" w:rsidRPr="001A6164" w14:paraId="328F5CB0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333AE" w14:textId="77777777" w:rsidR="00EB5F45" w:rsidRPr="004776CD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76CD">
              <w:rPr>
                <w:rFonts w:ascii="Arial" w:hAnsi="Arial" w:cs="Arial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29FF6" w14:textId="04382572" w:rsidR="00EB5F45" w:rsidRPr="004776CD" w:rsidRDefault="001B624B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3.029</w:t>
            </w:r>
          </w:p>
        </w:tc>
      </w:tr>
      <w:tr w:rsidR="00EB5F45" w:rsidRPr="001A6164" w14:paraId="0CAF96C0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387E1" w14:textId="77777777" w:rsidR="00EB5F45" w:rsidRPr="004776CD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76CD">
              <w:rPr>
                <w:rFonts w:ascii="Arial" w:hAnsi="Arial" w:cs="Arial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A890" w14:textId="7301434D" w:rsidR="00EB5F45" w:rsidRPr="004776CD" w:rsidRDefault="007351E4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-5.851</w:t>
            </w:r>
          </w:p>
        </w:tc>
      </w:tr>
      <w:tr w:rsidR="00EB5F45" w:rsidRPr="001A6164" w14:paraId="57471E58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6EFBC" w14:textId="77777777" w:rsidR="00EB5F45" w:rsidRPr="004776CD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76CD">
              <w:rPr>
                <w:rFonts w:ascii="Arial" w:hAnsi="Arial" w:cs="Arial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7CAAD" w14:textId="7B069051" w:rsidR="00EB5F45" w:rsidRPr="004776CD" w:rsidRDefault="007351E4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-17.162</w:t>
            </w:r>
          </w:p>
        </w:tc>
      </w:tr>
      <w:tr w:rsidR="00EB5F45" w:rsidRPr="001A6164" w14:paraId="24474B0F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0B74" w14:textId="77777777" w:rsidR="00EB5F45" w:rsidRPr="004776CD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76CD">
              <w:rPr>
                <w:rFonts w:ascii="Arial" w:hAnsi="Arial" w:cs="Arial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5A26" w14:textId="73200615" w:rsidR="00EB5F45" w:rsidRPr="004776CD" w:rsidRDefault="00C305AB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71.960</w:t>
            </w:r>
          </w:p>
        </w:tc>
      </w:tr>
      <w:tr w:rsidR="00EB5F45" w:rsidRPr="001A6164" w14:paraId="0D156C1F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73D76" w14:textId="77777777" w:rsidR="00EB5F45" w:rsidRPr="004776CD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76CD">
              <w:rPr>
                <w:rFonts w:ascii="Arial" w:hAnsi="Arial" w:cs="Arial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DCEDB" w14:textId="24DF3E97" w:rsidR="00EB5F45" w:rsidRPr="004776CD" w:rsidRDefault="00C305AB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736.173</w:t>
            </w:r>
          </w:p>
        </w:tc>
      </w:tr>
      <w:tr w:rsidR="00EB5F45" w:rsidRPr="006819D6" w14:paraId="2B197902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19C75" w14:textId="77777777" w:rsidR="00EB5F45" w:rsidRPr="004776CD" w:rsidRDefault="00EB5F45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76CD">
              <w:rPr>
                <w:rFonts w:ascii="Arial" w:hAnsi="Arial" w:cs="Arial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FB03" w14:textId="258840E7" w:rsidR="00EB5F45" w:rsidRPr="00C9143C" w:rsidRDefault="00EB5F45" w:rsidP="004774E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-3.</w:t>
            </w:r>
            <w:r w:rsidR="00C305AB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448.893</w:t>
            </w:r>
          </w:p>
        </w:tc>
      </w:tr>
    </w:tbl>
    <w:p w14:paraId="1017E5A4" w14:textId="77777777" w:rsidR="00EB5F45" w:rsidRDefault="00EB5F45" w:rsidP="00EB5F45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425864C1" w14:textId="23453FE9" w:rsidR="00E43486" w:rsidRDefault="00E43486" w:rsidP="00E43486">
      <w:pPr>
        <w:ind w:right="57" w:firstLine="720"/>
        <w:jc w:val="both"/>
        <w:rPr>
          <w:rFonts w:ascii="Arial" w:hAnsi="Arial" w:cs="Arial"/>
          <w:sz w:val="18"/>
          <w:szCs w:val="18"/>
        </w:rPr>
      </w:pPr>
    </w:p>
    <w:p w14:paraId="09D6B273" w14:textId="77777777" w:rsidR="00EB5F45" w:rsidRPr="00705C0B" w:rsidRDefault="00EB5F45" w:rsidP="007A497F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2B2ED0F6" w14:textId="3BD633ED" w:rsidR="00EB5F45" w:rsidRPr="00666EB6" w:rsidRDefault="00EB5F45" w:rsidP="00E43486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Ukupni tekući prihodi i primici Gradskog proračuna u 202</w:t>
      </w:r>
      <w:r w:rsidR="00705DAA" w:rsidRPr="00906B08">
        <w:rPr>
          <w:rFonts w:ascii="Arial" w:hAnsi="Arial" w:cs="Arial"/>
          <w:sz w:val="20"/>
          <w:szCs w:val="20"/>
        </w:rPr>
        <w:t>1</w:t>
      </w:r>
      <w:r w:rsidRPr="00906B08">
        <w:rPr>
          <w:rFonts w:ascii="Arial" w:hAnsi="Arial" w:cs="Arial"/>
          <w:sz w:val="20"/>
          <w:szCs w:val="20"/>
        </w:rPr>
        <w:t xml:space="preserve">. godini </w:t>
      </w:r>
      <w:r w:rsidR="00705DAA" w:rsidRPr="00906B08">
        <w:rPr>
          <w:rFonts w:ascii="Arial" w:hAnsi="Arial" w:cs="Arial"/>
          <w:sz w:val="20"/>
          <w:szCs w:val="20"/>
        </w:rPr>
        <w:t xml:space="preserve">iznose </w:t>
      </w:r>
      <w:r w:rsidR="00DC3455" w:rsidRPr="00906B08">
        <w:rPr>
          <w:rFonts w:ascii="Arial" w:hAnsi="Arial" w:cs="Arial"/>
          <w:sz w:val="20"/>
          <w:szCs w:val="20"/>
        </w:rPr>
        <w:t>42.879.876 kn</w:t>
      </w:r>
      <w:r w:rsidR="00347D03">
        <w:rPr>
          <w:rFonts w:ascii="Arial" w:hAnsi="Arial" w:cs="Arial"/>
          <w:sz w:val="20"/>
          <w:szCs w:val="20"/>
        </w:rPr>
        <w:t>,</w:t>
      </w:r>
      <w:r w:rsidR="00DC3455" w:rsidRPr="00906B08">
        <w:rPr>
          <w:rFonts w:ascii="Arial" w:hAnsi="Arial" w:cs="Arial"/>
          <w:sz w:val="20"/>
          <w:szCs w:val="20"/>
        </w:rPr>
        <w:t xml:space="preserve"> dok</w:t>
      </w:r>
      <w:r w:rsidRPr="00906B08">
        <w:rPr>
          <w:rFonts w:ascii="Arial" w:hAnsi="Arial" w:cs="Arial"/>
          <w:sz w:val="20"/>
          <w:szCs w:val="20"/>
        </w:rPr>
        <w:t xml:space="preserve"> ukupni tekući rashod</w:t>
      </w:r>
      <w:r w:rsidR="00DC3455" w:rsidRPr="00906B08">
        <w:rPr>
          <w:rFonts w:ascii="Arial" w:hAnsi="Arial" w:cs="Arial"/>
          <w:sz w:val="20"/>
          <w:szCs w:val="20"/>
        </w:rPr>
        <w:t>i</w:t>
      </w:r>
      <w:r w:rsidRPr="00906B08">
        <w:rPr>
          <w:rFonts w:ascii="Arial" w:hAnsi="Arial" w:cs="Arial"/>
          <w:sz w:val="20"/>
          <w:szCs w:val="20"/>
        </w:rPr>
        <w:t xml:space="preserve"> i izda</w:t>
      </w:r>
      <w:r w:rsidR="00DC3455" w:rsidRPr="00906B08">
        <w:rPr>
          <w:rFonts w:ascii="Arial" w:hAnsi="Arial" w:cs="Arial"/>
          <w:sz w:val="20"/>
          <w:szCs w:val="20"/>
        </w:rPr>
        <w:t>ci iznose 43.631.148 kn. Prihodi i</w:t>
      </w:r>
      <w:r w:rsidR="00DC3455">
        <w:rPr>
          <w:rFonts w:ascii="Arial" w:hAnsi="Arial" w:cs="Arial"/>
          <w:sz w:val="20"/>
          <w:szCs w:val="20"/>
        </w:rPr>
        <w:t xml:space="preserve"> primici manji su od rashoda i izdataka za iznos 751.272 kn,</w:t>
      </w:r>
      <w:r w:rsidRPr="004220E6">
        <w:rPr>
          <w:rFonts w:ascii="Arial" w:hAnsi="Arial" w:cs="Arial"/>
          <w:sz w:val="20"/>
          <w:szCs w:val="20"/>
        </w:rPr>
        <w:t xml:space="preserve"> a s prenesenim </w:t>
      </w:r>
      <w:r>
        <w:rPr>
          <w:rFonts w:ascii="Arial" w:hAnsi="Arial" w:cs="Arial"/>
          <w:sz w:val="20"/>
          <w:szCs w:val="20"/>
        </w:rPr>
        <w:t>manjkom</w:t>
      </w:r>
      <w:r w:rsidRPr="004220E6">
        <w:rPr>
          <w:rFonts w:ascii="Arial" w:hAnsi="Arial" w:cs="Arial"/>
          <w:sz w:val="20"/>
          <w:szCs w:val="20"/>
        </w:rPr>
        <w:t xml:space="preserve"> sredstava iz 20</w:t>
      </w:r>
      <w:r w:rsidR="00DC3455">
        <w:rPr>
          <w:rFonts w:ascii="Arial" w:hAnsi="Arial" w:cs="Arial"/>
          <w:sz w:val="20"/>
          <w:szCs w:val="20"/>
        </w:rPr>
        <w:t>20</w:t>
      </w:r>
      <w:r w:rsidRPr="004220E6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3.</w:t>
      </w:r>
      <w:r w:rsidR="00DC3455">
        <w:rPr>
          <w:rFonts w:ascii="Arial" w:hAnsi="Arial" w:cs="Arial"/>
          <w:sz w:val="20"/>
          <w:szCs w:val="20"/>
        </w:rPr>
        <w:t>484.097</w:t>
      </w:r>
      <w:r w:rsidRPr="004220E6">
        <w:rPr>
          <w:rFonts w:ascii="Arial" w:hAnsi="Arial" w:cs="Arial"/>
          <w:sz w:val="20"/>
          <w:szCs w:val="20"/>
        </w:rPr>
        <w:t xml:space="preserve"> kn</w:t>
      </w:r>
      <w:r>
        <w:rPr>
          <w:rFonts w:ascii="Arial" w:hAnsi="Arial" w:cs="Arial"/>
          <w:sz w:val="20"/>
          <w:szCs w:val="20"/>
        </w:rPr>
        <w:t>,</w:t>
      </w:r>
      <w:r w:rsidRPr="004220E6">
        <w:rPr>
          <w:rFonts w:ascii="Arial" w:hAnsi="Arial" w:cs="Arial"/>
          <w:sz w:val="20"/>
          <w:szCs w:val="20"/>
        </w:rPr>
        <w:t xml:space="preserve"> u kojem su sadržani viškovi i manjkovi Proračunskih korisnika, ostvaren je ukupni manjak prihoda u iznosu od </w:t>
      </w:r>
      <w:r w:rsidR="00DC3455">
        <w:rPr>
          <w:rFonts w:ascii="Arial" w:hAnsi="Arial" w:cs="Arial"/>
          <w:b/>
          <w:sz w:val="20"/>
          <w:szCs w:val="20"/>
        </w:rPr>
        <w:t>4.235.369</w:t>
      </w:r>
      <w:r w:rsidRPr="00DB5B2F">
        <w:rPr>
          <w:rFonts w:ascii="Arial" w:hAnsi="Arial" w:cs="Arial"/>
          <w:sz w:val="20"/>
          <w:szCs w:val="20"/>
        </w:rPr>
        <w:t xml:space="preserve"> kn.</w:t>
      </w:r>
      <w:r w:rsidRPr="00DB5B2F">
        <w:rPr>
          <w:rFonts w:ascii="Arial" w:hAnsi="Arial" w:cs="Arial"/>
          <w:color w:val="FFC000"/>
          <w:sz w:val="20"/>
          <w:szCs w:val="20"/>
        </w:rPr>
        <w:t xml:space="preserve">. </w:t>
      </w:r>
    </w:p>
    <w:p w14:paraId="096CAC69" w14:textId="77777777" w:rsidR="00811BC8" w:rsidRDefault="00E43486" w:rsidP="00811BC8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776AF3">
        <w:rPr>
          <w:rFonts w:ascii="Arial" w:hAnsi="Arial" w:cs="Arial"/>
          <w:b/>
          <w:i/>
          <w:sz w:val="20"/>
          <w:szCs w:val="20"/>
          <w:u w:val="single"/>
        </w:rPr>
        <w:t>Izvještaj o zaduživanju i danim jamstvima u 20</w:t>
      </w:r>
      <w:r w:rsidR="00585836" w:rsidRPr="00776AF3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11BC8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Pr="00776AF3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60945D17" w14:textId="782918EF" w:rsidR="004E007F" w:rsidRPr="00811BC8" w:rsidRDefault="00293C6A" w:rsidP="00811BC8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U ovom razdoblju</w:t>
      </w:r>
      <w:r w:rsidRPr="00293C6A">
        <w:rPr>
          <w:rFonts w:ascii="Arial" w:hAnsi="Arial" w:cs="Arial"/>
          <w:sz w:val="20"/>
          <w:szCs w:val="20"/>
        </w:rPr>
        <w:t xml:space="preserve"> realiziran je </w:t>
      </w:r>
      <w:r w:rsidR="00811BC8">
        <w:rPr>
          <w:rFonts w:ascii="Arial" w:hAnsi="Arial" w:cs="Arial"/>
          <w:sz w:val="20"/>
          <w:szCs w:val="20"/>
        </w:rPr>
        <w:t xml:space="preserve">veći dio </w:t>
      </w:r>
      <w:r w:rsidRPr="00293C6A">
        <w:rPr>
          <w:rFonts w:ascii="Arial" w:hAnsi="Arial" w:cs="Arial"/>
          <w:sz w:val="20"/>
          <w:szCs w:val="20"/>
        </w:rPr>
        <w:t>kredit</w:t>
      </w:r>
      <w:r w:rsidR="00811BC8">
        <w:rPr>
          <w:rFonts w:ascii="Arial" w:hAnsi="Arial" w:cs="Arial"/>
          <w:sz w:val="20"/>
          <w:szCs w:val="20"/>
        </w:rPr>
        <w:t>a HBOR-a za predfinanciranje projekata Grada</w:t>
      </w:r>
      <w:r w:rsidR="00811BC8">
        <w:rPr>
          <w:rFonts w:ascii="Arial" w:eastAsia="Times New Roman" w:hAnsi="Arial" w:cs="Arial"/>
          <w:sz w:val="20"/>
          <w:szCs w:val="20"/>
        </w:rPr>
        <w:t>, u iznosu od 8.502.754 kn.</w:t>
      </w:r>
      <w:r w:rsidRPr="00293C6A">
        <w:rPr>
          <w:rFonts w:ascii="Arial" w:eastAsia="Times New Roman" w:hAnsi="Arial" w:cs="Arial"/>
          <w:sz w:val="20"/>
          <w:szCs w:val="20"/>
        </w:rPr>
        <w:t xml:space="preserve"> </w:t>
      </w:r>
      <w:r w:rsidR="00664FFD">
        <w:rPr>
          <w:rFonts w:ascii="Arial" w:eastAsia="Times New Roman" w:hAnsi="Arial" w:cs="Arial"/>
          <w:sz w:val="20"/>
          <w:szCs w:val="20"/>
        </w:rPr>
        <w:t>Kreditom su</w:t>
      </w:r>
      <w:r w:rsidRPr="00293C6A">
        <w:rPr>
          <w:rFonts w:ascii="Arial" w:eastAsia="Times New Roman" w:hAnsi="Arial" w:cs="Arial"/>
          <w:sz w:val="20"/>
          <w:szCs w:val="20"/>
        </w:rPr>
        <w:t xml:space="preserve"> podmireni</w:t>
      </w:r>
      <w:r w:rsidR="00664FFD">
        <w:rPr>
          <w:rFonts w:ascii="Arial" w:eastAsia="Times New Roman" w:hAnsi="Arial" w:cs="Arial"/>
          <w:sz w:val="20"/>
          <w:szCs w:val="20"/>
        </w:rPr>
        <w:t xml:space="preserve"> </w:t>
      </w:r>
      <w:r w:rsidRPr="00293C6A">
        <w:rPr>
          <w:rFonts w:ascii="Arial" w:eastAsia="Times New Roman" w:hAnsi="Arial" w:cs="Arial"/>
          <w:sz w:val="20"/>
          <w:szCs w:val="20"/>
        </w:rPr>
        <w:t>neplaćeni računi dobavljača, izvođača radova</w:t>
      </w:r>
      <w:r w:rsidR="00260A5F">
        <w:rPr>
          <w:rFonts w:ascii="Arial" w:eastAsia="Times New Roman" w:hAnsi="Arial" w:cs="Arial"/>
          <w:sz w:val="20"/>
          <w:szCs w:val="20"/>
        </w:rPr>
        <w:t>,</w:t>
      </w:r>
      <w:r w:rsidRPr="00293C6A">
        <w:rPr>
          <w:rFonts w:ascii="Arial" w:eastAsia="Times New Roman" w:hAnsi="Arial" w:cs="Arial"/>
          <w:sz w:val="20"/>
          <w:szCs w:val="20"/>
        </w:rPr>
        <w:t xml:space="preserve"> a ostalim dijelom podmirivat će se preostali dio neisporučenih računa dobavljača</w:t>
      </w:r>
      <w:r w:rsidR="00260A5F">
        <w:rPr>
          <w:rFonts w:ascii="Arial" w:eastAsia="Times New Roman" w:hAnsi="Arial" w:cs="Arial"/>
          <w:sz w:val="20"/>
          <w:szCs w:val="20"/>
        </w:rPr>
        <w:t>,</w:t>
      </w:r>
      <w:r w:rsidRPr="00293C6A">
        <w:rPr>
          <w:rFonts w:ascii="Arial" w:eastAsia="Times New Roman" w:hAnsi="Arial" w:cs="Arial"/>
          <w:sz w:val="20"/>
          <w:szCs w:val="20"/>
        </w:rPr>
        <w:t xml:space="preserve"> odnosno završit će se financiranje navedenih projekata. </w:t>
      </w:r>
      <w:r w:rsidR="005E517B" w:rsidRPr="005E517B">
        <w:rPr>
          <w:rFonts w:ascii="Arial" w:eastAsia="Times New Roman" w:hAnsi="Arial" w:cs="Arial"/>
          <w:sz w:val="20"/>
          <w:szCs w:val="20"/>
        </w:rPr>
        <w:t xml:space="preserve">Otplata kredita vršit će se na način da će se potraživana bespovratna sredstva po zahtjevima za nadoknadom sredstava predfinanciranih sredstvima kreditnog zaduženja, koristiti za otplatu kredita i time bi se umanjivala neotplaćena glavnica kredita. </w:t>
      </w:r>
      <w:r w:rsidR="005E517B">
        <w:rPr>
          <w:rFonts w:ascii="Arial" w:eastAsia="Times New Roman" w:hAnsi="Arial" w:cs="Arial"/>
          <w:sz w:val="20"/>
          <w:szCs w:val="20"/>
        </w:rPr>
        <w:t xml:space="preserve">Dio kredita koji ne bude otplaćen bespovratnim sredstvima, </w:t>
      </w:r>
      <w:r w:rsidR="00595E57">
        <w:rPr>
          <w:rFonts w:ascii="Arial" w:eastAsia="Times New Roman" w:hAnsi="Arial" w:cs="Arial"/>
          <w:sz w:val="20"/>
          <w:szCs w:val="20"/>
        </w:rPr>
        <w:t xml:space="preserve">otplaćivat će se 10 godina, </w:t>
      </w:r>
      <w:r w:rsidR="005E517B">
        <w:rPr>
          <w:rFonts w:ascii="Arial" w:eastAsia="Times New Roman" w:hAnsi="Arial" w:cs="Arial"/>
          <w:sz w:val="20"/>
          <w:szCs w:val="20"/>
        </w:rPr>
        <w:t>započ</w:t>
      </w:r>
      <w:r w:rsidR="00595E57">
        <w:rPr>
          <w:rFonts w:ascii="Arial" w:eastAsia="Times New Roman" w:hAnsi="Arial" w:cs="Arial"/>
          <w:sz w:val="20"/>
          <w:szCs w:val="20"/>
        </w:rPr>
        <w:t>evši</w:t>
      </w:r>
      <w:r w:rsidR="005E517B">
        <w:rPr>
          <w:rFonts w:ascii="Arial" w:eastAsia="Times New Roman" w:hAnsi="Arial" w:cs="Arial"/>
          <w:sz w:val="20"/>
          <w:szCs w:val="20"/>
        </w:rPr>
        <w:t xml:space="preserve"> </w:t>
      </w:r>
      <w:r w:rsidR="00595E57">
        <w:rPr>
          <w:rFonts w:ascii="Arial" w:eastAsia="Times New Roman" w:hAnsi="Arial" w:cs="Arial"/>
          <w:sz w:val="20"/>
          <w:szCs w:val="20"/>
        </w:rPr>
        <w:t>3</w:t>
      </w:r>
      <w:r w:rsidR="006D37C4">
        <w:rPr>
          <w:rFonts w:ascii="Arial" w:eastAsia="Times New Roman" w:hAnsi="Arial" w:cs="Arial"/>
          <w:sz w:val="20"/>
          <w:szCs w:val="20"/>
        </w:rPr>
        <w:t>0</w:t>
      </w:r>
      <w:r w:rsidR="005E517B">
        <w:rPr>
          <w:rFonts w:ascii="Arial" w:eastAsia="Times New Roman" w:hAnsi="Arial" w:cs="Arial"/>
          <w:sz w:val="20"/>
          <w:szCs w:val="20"/>
        </w:rPr>
        <w:t>.0</w:t>
      </w:r>
      <w:r w:rsidR="006D37C4">
        <w:rPr>
          <w:rFonts w:ascii="Arial" w:eastAsia="Times New Roman" w:hAnsi="Arial" w:cs="Arial"/>
          <w:sz w:val="20"/>
          <w:szCs w:val="20"/>
        </w:rPr>
        <w:t>4</w:t>
      </w:r>
      <w:r w:rsidR="005E517B">
        <w:rPr>
          <w:rFonts w:ascii="Arial" w:eastAsia="Times New Roman" w:hAnsi="Arial" w:cs="Arial"/>
          <w:sz w:val="20"/>
          <w:szCs w:val="20"/>
        </w:rPr>
        <w:t>.2023. godine.</w:t>
      </w:r>
      <w:r w:rsidR="00503E50">
        <w:rPr>
          <w:rFonts w:ascii="Arial" w:eastAsia="Times New Roman" w:hAnsi="Arial" w:cs="Arial"/>
          <w:sz w:val="20"/>
          <w:szCs w:val="20"/>
        </w:rPr>
        <w:t xml:space="preserve"> </w:t>
      </w:r>
      <w:r w:rsidRPr="00293C6A">
        <w:rPr>
          <w:rFonts w:ascii="Arial" w:eastAsia="Times New Roman" w:hAnsi="Arial" w:cs="Arial"/>
          <w:sz w:val="20"/>
          <w:szCs w:val="20"/>
        </w:rPr>
        <w:t>Kreditno zaduženje bilo je neophodno radi nelikvidnosti Grada usljed posljedica uzrokovanih epidemijom koronavirusa.</w:t>
      </w:r>
      <w:r w:rsidR="00592F4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3A80C66" w14:textId="55F3E8E1" w:rsidR="00427B7F" w:rsidRDefault="00A556D5" w:rsidP="00427B7F">
      <w:pPr>
        <w:jc w:val="both"/>
        <w:rPr>
          <w:rFonts w:ascii="Arial" w:eastAsia="Times New Roman" w:hAnsi="Arial" w:cs="Arial"/>
          <w:sz w:val="20"/>
          <w:szCs w:val="20"/>
        </w:rPr>
      </w:pPr>
      <w:r w:rsidRPr="00666EB6">
        <w:rPr>
          <w:rFonts w:ascii="Arial" w:hAnsi="Arial" w:cs="Arial"/>
          <w:sz w:val="20"/>
          <w:szCs w:val="20"/>
        </w:rPr>
        <w:t>Z</w:t>
      </w:r>
      <w:r w:rsidR="003B6C34" w:rsidRPr="00666EB6">
        <w:rPr>
          <w:rFonts w:ascii="Arial" w:hAnsi="Arial" w:cs="Arial"/>
          <w:sz w:val="20"/>
          <w:szCs w:val="20"/>
        </w:rPr>
        <w:t>ajmovi</w:t>
      </w:r>
      <w:r w:rsidRPr="00666EB6">
        <w:rPr>
          <w:rFonts w:ascii="Arial" w:hAnsi="Arial" w:cs="Arial"/>
          <w:sz w:val="20"/>
          <w:szCs w:val="20"/>
        </w:rPr>
        <w:t xml:space="preserve"> </w:t>
      </w:r>
      <w:r w:rsidR="003B6C34" w:rsidRPr="00666EB6">
        <w:rPr>
          <w:rFonts w:ascii="Arial" w:hAnsi="Arial" w:cs="Arial"/>
          <w:sz w:val="20"/>
          <w:szCs w:val="20"/>
        </w:rPr>
        <w:t>nisu davani</w:t>
      </w:r>
      <w:r w:rsidR="00666EB6">
        <w:rPr>
          <w:rFonts w:ascii="Arial" w:hAnsi="Arial" w:cs="Arial"/>
          <w:sz w:val="20"/>
          <w:szCs w:val="20"/>
        </w:rPr>
        <w:t xml:space="preserve">, a jamstvo u vidu bjanko zadužnice do 500.000 kn, dano je Ministarstvu turizma i sporta za uredno ispunjenje obaveza iz Ugovora za </w:t>
      </w:r>
      <w:r w:rsidR="008C6836">
        <w:rPr>
          <w:rFonts w:ascii="Arial" w:hAnsi="Arial" w:cs="Arial"/>
          <w:sz w:val="20"/>
          <w:szCs w:val="20"/>
        </w:rPr>
        <w:t xml:space="preserve">sufinanciranje </w:t>
      </w:r>
      <w:r w:rsidR="00666EB6">
        <w:rPr>
          <w:rFonts w:ascii="Arial" w:hAnsi="Arial" w:cs="Arial"/>
          <w:sz w:val="20"/>
          <w:szCs w:val="20"/>
        </w:rPr>
        <w:t>uređenj</w:t>
      </w:r>
      <w:r w:rsidR="008C6836">
        <w:rPr>
          <w:rFonts w:ascii="Arial" w:hAnsi="Arial" w:cs="Arial"/>
          <w:sz w:val="20"/>
          <w:szCs w:val="20"/>
        </w:rPr>
        <w:t xml:space="preserve">a </w:t>
      </w:r>
      <w:r w:rsidR="00666EB6">
        <w:rPr>
          <w:rFonts w:ascii="Arial" w:hAnsi="Arial" w:cs="Arial"/>
          <w:sz w:val="20"/>
          <w:szCs w:val="20"/>
        </w:rPr>
        <w:t xml:space="preserve">bazena </w:t>
      </w:r>
      <w:r w:rsidR="00CD44B8">
        <w:rPr>
          <w:rFonts w:ascii="Arial" w:hAnsi="Arial" w:cs="Arial"/>
          <w:sz w:val="20"/>
          <w:szCs w:val="20"/>
        </w:rPr>
        <w:t>„</w:t>
      </w:r>
      <w:r w:rsidR="00666EB6">
        <w:rPr>
          <w:rFonts w:ascii="Arial" w:hAnsi="Arial" w:cs="Arial"/>
          <w:sz w:val="20"/>
          <w:szCs w:val="20"/>
        </w:rPr>
        <w:t>Gojko Arneri</w:t>
      </w:r>
      <w:r w:rsidR="00CD44B8">
        <w:rPr>
          <w:rFonts w:ascii="Arial" w:hAnsi="Arial" w:cs="Arial"/>
          <w:sz w:val="20"/>
          <w:szCs w:val="20"/>
        </w:rPr>
        <w:t>“</w:t>
      </w:r>
      <w:r w:rsidR="00666EB6">
        <w:rPr>
          <w:rFonts w:ascii="Arial" w:hAnsi="Arial" w:cs="Arial"/>
          <w:sz w:val="20"/>
          <w:szCs w:val="20"/>
        </w:rPr>
        <w:t>.</w:t>
      </w:r>
      <w:r w:rsidR="003B6C34" w:rsidRPr="00D04794">
        <w:rPr>
          <w:rFonts w:ascii="Arial" w:hAnsi="Arial" w:cs="Arial"/>
          <w:sz w:val="20"/>
          <w:szCs w:val="20"/>
        </w:rPr>
        <w:t xml:space="preserve"> </w:t>
      </w:r>
    </w:p>
    <w:p w14:paraId="193134C0" w14:textId="5761FC25" w:rsidR="007202CD" w:rsidRDefault="00E43486" w:rsidP="003A0313">
      <w:pPr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lastRenderedPageBreak/>
        <w:t>Uz podatke tablica niže</w:t>
      </w:r>
      <w:r w:rsidRPr="00D04794">
        <w:rPr>
          <w:rFonts w:ascii="Arial" w:hAnsi="Arial" w:cs="Arial"/>
          <w:sz w:val="20"/>
          <w:szCs w:val="20"/>
        </w:rPr>
        <w:t xml:space="preserve"> u tekstu bitno je navesti: </w:t>
      </w:r>
      <w:r w:rsidR="00EB5F45">
        <w:rPr>
          <w:rFonts w:ascii="Arial" w:hAnsi="Arial" w:cs="Arial"/>
          <w:sz w:val="20"/>
          <w:szCs w:val="20"/>
        </w:rPr>
        <w:t>o</w:t>
      </w:r>
      <w:r w:rsidRPr="00D04794">
        <w:rPr>
          <w:rFonts w:ascii="Arial" w:hAnsi="Arial" w:cs="Arial"/>
          <w:sz w:val="20"/>
          <w:szCs w:val="20"/>
        </w:rPr>
        <w:t xml:space="preserve">dobreni dugoročni </w:t>
      </w:r>
      <w:r w:rsidR="00BB48C8" w:rsidRPr="00D04794">
        <w:rPr>
          <w:rFonts w:ascii="Arial" w:hAnsi="Arial" w:cs="Arial"/>
          <w:sz w:val="20"/>
          <w:szCs w:val="20"/>
        </w:rPr>
        <w:t>kredit Zagrebačke banke d.</w:t>
      </w:r>
      <w:r w:rsidRPr="00D04794">
        <w:rPr>
          <w:rFonts w:ascii="Arial" w:hAnsi="Arial" w:cs="Arial"/>
          <w:sz w:val="20"/>
          <w:szCs w:val="20"/>
        </w:rPr>
        <w:t>d. u iznosu od  7.340.000,00 k</w:t>
      </w:r>
      <w:r w:rsidR="00BB48C8" w:rsidRPr="00D04794">
        <w:rPr>
          <w:rFonts w:ascii="Arial" w:hAnsi="Arial" w:cs="Arial"/>
          <w:sz w:val="20"/>
          <w:szCs w:val="20"/>
        </w:rPr>
        <w:t>n</w:t>
      </w:r>
      <w:r w:rsidR="007202CD">
        <w:rPr>
          <w:rFonts w:ascii="Arial" w:hAnsi="Arial" w:cs="Arial"/>
          <w:sz w:val="20"/>
          <w:szCs w:val="20"/>
        </w:rPr>
        <w:t>, u ovom je razdoblju</w:t>
      </w:r>
      <w:r w:rsidRPr="00D04794">
        <w:rPr>
          <w:rFonts w:ascii="Arial" w:hAnsi="Arial" w:cs="Arial"/>
          <w:sz w:val="20"/>
          <w:szCs w:val="20"/>
        </w:rPr>
        <w:t xml:space="preserve"> </w:t>
      </w:r>
      <w:r w:rsidR="008B52F7">
        <w:rPr>
          <w:rFonts w:ascii="Arial" w:hAnsi="Arial" w:cs="Arial"/>
          <w:sz w:val="20"/>
          <w:szCs w:val="20"/>
        </w:rPr>
        <w:t>otplaćen u cijelosti</w:t>
      </w:r>
      <w:r w:rsidRPr="00D04794">
        <w:rPr>
          <w:rFonts w:ascii="Arial" w:hAnsi="Arial" w:cs="Arial"/>
          <w:sz w:val="20"/>
          <w:szCs w:val="20"/>
        </w:rPr>
        <w:t>. Otplata kredita započela je 31.07.2011. godine</w:t>
      </w:r>
      <w:r w:rsidR="00BB48C8" w:rsidRPr="00D04794">
        <w:rPr>
          <w:rFonts w:ascii="Arial" w:hAnsi="Arial" w:cs="Arial"/>
          <w:sz w:val="20"/>
          <w:szCs w:val="20"/>
        </w:rPr>
        <w:t xml:space="preserve"> a u 20</w:t>
      </w:r>
      <w:r w:rsidR="00503E50">
        <w:rPr>
          <w:rFonts w:ascii="Arial" w:hAnsi="Arial" w:cs="Arial"/>
          <w:sz w:val="20"/>
          <w:szCs w:val="20"/>
        </w:rPr>
        <w:t>2</w:t>
      </w:r>
      <w:r w:rsidR="008B52F7">
        <w:rPr>
          <w:rFonts w:ascii="Arial" w:hAnsi="Arial" w:cs="Arial"/>
          <w:sz w:val="20"/>
          <w:szCs w:val="20"/>
        </w:rPr>
        <w:t>1</w:t>
      </w:r>
      <w:r w:rsidRPr="00D04794">
        <w:rPr>
          <w:rFonts w:ascii="Arial" w:hAnsi="Arial" w:cs="Arial"/>
          <w:sz w:val="20"/>
          <w:szCs w:val="20"/>
        </w:rPr>
        <w:t>.</w:t>
      </w:r>
      <w:r w:rsidR="00503E50">
        <w:rPr>
          <w:rFonts w:ascii="Arial" w:hAnsi="Arial" w:cs="Arial"/>
          <w:sz w:val="20"/>
          <w:szCs w:val="20"/>
        </w:rPr>
        <w:t xml:space="preserve"> </w:t>
      </w:r>
      <w:r w:rsidRPr="00D04794">
        <w:rPr>
          <w:rFonts w:ascii="Arial" w:hAnsi="Arial" w:cs="Arial"/>
          <w:sz w:val="20"/>
          <w:szCs w:val="20"/>
        </w:rPr>
        <w:t xml:space="preserve">godini ukupno je prema dospijeću otplaćeno </w:t>
      </w:r>
      <w:r w:rsidR="008B52F7">
        <w:rPr>
          <w:rFonts w:ascii="Arial" w:hAnsi="Arial" w:cs="Arial"/>
          <w:sz w:val="20"/>
          <w:szCs w:val="20"/>
        </w:rPr>
        <w:t>367.000 kn</w:t>
      </w:r>
      <w:r w:rsidRPr="00D04794">
        <w:rPr>
          <w:rFonts w:ascii="Arial" w:hAnsi="Arial" w:cs="Arial"/>
          <w:sz w:val="20"/>
          <w:szCs w:val="20"/>
        </w:rPr>
        <w:t xml:space="preserve"> i za kamatu </w:t>
      </w:r>
      <w:r w:rsidR="007202CD">
        <w:rPr>
          <w:rFonts w:ascii="Arial" w:hAnsi="Arial" w:cs="Arial"/>
          <w:sz w:val="20"/>
          <w:szCs w:val="20"/>
        </w:rPr>
        <w:t>2.102</w:t>
      </w:r>
      <w:r w:rsidRPr="00D04794">
        <w:rPr>
          <w:rFonts w:ascii="Arial" w:hAnsi="Arial" w:cs="Arial"/>
          <w:sz w:val="20"/>
          <w:szCs w:val="20"/>
        </w:rPr>
        <w:t xml:space="preserve"> kn. </w:t>
      </w:r>
      <w:r w:rsidR="003A0313" w:rsidRPr="00D04794">
        <w:rPr>
          <w:rFonts w:ascii="Arial" w:hAnsi="Arial" w:cs="Arial"/>
          <w:sz w:val="20"/>
          <w:szCs w:val="20"/>
        </w:rPr>
        <w:t xml:space="preserve">Ukupno po ovom </w:t>
      </w:r>
      <w:r w:rsidR="003A0313">
        <w:rPr>
          <w:rFonts w:ascii="Arial" w:hAnsi="Arial" w:cs="Arial"/>
          <w:sz w:val="20"/>
          <w:szCs w:val="20"/>
        </w:rPr>
        <w:t>kreditu zaključno s 31.12.2021</w:t>
      </w:r>
      <w:r w:rsidR="003A0313" w:rsidRPr="00D04794">
        <w:rPr>
          <w:rFonts w:ascii="Arial" w:hAnsi="Arial" w:cs="Arial"/>
          <w:sz w:val="20"/>
          <w:szCs w:val="20"/>
        </w:rPr>
        <w:t>.</w:t>
      </w:r>
      <w:r w:rsidR="003A0313">
        <w:rPr>
          <w:rFonts w:ascii="Arial" w:hAnsi="Arial" w:cs="Arial"/>
          <w:sz w:val="20"/>
          <w:szCs w:val="20"/>
        </w:rPr>
        <w:t xml:space="preserve"> </w:t>
      </w:r>
      <w:r w:rsidR="003A0313" w:rsidRPr="00D04794">
        <w:rPr>
          <w:rFonts w:ascii="Arial" w:hAnsi="Arial" w:cs="Arial"/>
          <w:sz w:val="20"/>
          <w:szCs w:val="20"/>
        </w:rPr>
        <w:t>godine</w:t>
      </w:r>
      <w:r w:rsidR="003A0313">
        <w:rPr>
          <w:rFonts w:ascii="Arial" w:hAnsi="Arial" w:cs="Arial"/>
          <w:sz w:val="20"/>
          <w:szCs w:val="20"/>
        </w:rPr>
        <w:t>,</w:t>
      </w:r>
      <w:r w:rsidR="003A0313" w:rsidRPr="00D04794">
        <w:rPr>
          <w:rFonts w:ascii="Arial" w:hAnsi="Arial" w:cs="Arial"/>
          <w:sz w:val="20"/>
          <w:szCs w:val="20"/>
        </w:rPr>
        <w:t xml:space="preserve"> otplaćeno je za glavnicu</w:t>
      </w:r>
      <w:r w:rsidR="003A0313">
        <w:rPr>
          <w:rFonts w:ascii="Arial" w:hAnsi="Arial" w:cs="Arial"/>
          <w:sz w:val="20"/>
          <w:szCs w:val="20"/>
        </w:rPr>
        <w:t xml:space="preserve"> 7.340.000</w:t>
      </w:r>
      <w:r w:rsidR="003A0313" w:rsidRPr="00D04794">
        <w:rPr>
          <w:rFonts w:ascii="Arial" w:hAnsi="Arial" w:cs="Arial"/>
          <w:sz w:val="20"/>
          <w:szCs w:val="20"/>
        </w:rPr>
        <w:t xml:space="preserve"> kn</w:t>
      </w:r>
      <w:r w:rsidR="003A0313">
        <w:rPr>
          <w:rFonts w:ascii="Arial" w:hAnsi="Arial" w:cs="Arial"/>
          <w:sz w:val="20"/>
          <w:szCs w:val="20"/>
        </w:rPr>
        <w:t>,</w:t>
      </w:r>
      <w:r w:rsidR="003A0313" w:rsidRPr="00D04794">
        <w:rPr>
          <w:rFonts w:ascii="Arial" w:hAnsi="Arial" w:cs="Arial"/>
          <w:sz w:val="20"/>
          <w:szCs w:val="20"/>
        </w:rPr>
        <w:t xml:space="preserve"> a za kamatu </w:t>
      </w:r>
      <w:r w:rsidR="003A0313">
        <w:rPr>
          <w:rFonts w:ascii="Arial" w:hAnsi="Arial" w:cs="Arial"/>
          <w:sz w:val="20"/>
          <w:szCs w:val="20"/>
        </w:rPr>
        <w:t>1.861.726,84</w:t>
      </w:r>
      <w:r w:rsidR="003A0313" w:rsidRPr="00D04794">
        <w:rPr>
          <w:rFonts w:ascii="Arial" w:hAnsi="Arial" w:cs="Arial"/>
          <w:sz w:val="20"/>
          <w:szCs w:val="20"/>
        </w:rPr>
        <w:t xml:space="preserve"> kn.</w:t>
      </w:r>
    </w:p>
    <w:p w14:paraId="786ACFEB" w14:textId="4E3D1A92" w:rsidR="008B52F7" w:rsidRDefault="008B52F7" w:rsidP="008B52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Započela je otplata glavnice dugoročnog kredita HBOR-a za Projekte Grada, koja iznosi 698.892 kn. Iznos je otplaćen refundiranim bespovratnim sredstvima EU, prema Zahtjevima za nadokandom sredstava, kreditom plaćenih računa dobavljača.</w:t>
      </w:r>
      <w:r w:rsidRPr="00F24226">
        <w:rPr>
          <w:rFonts w:ascii="Arial" w:hAnsi="Arial" w:cs="Arial"/>
          <w:sz w:val="20"/>
          <w:szCs w:val="20"/>
        </w:rPr>
        <w:t xml:space="preserve"> </w:t>
      </w:r>
    </w:p>
    <w:p w14:paraId="386DF735" w14:textId="77777777" w:rsidR="007202CD" w:rsidRPr="00427B7F" w:rsidRDefault="007202CD" w:rsidP="00427B7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A4350B4" w14:textId="6958457B" w:rsidR="00AE2D9A" w:rsidRPr="00AE2D9A" w:rsidRDefault="00E43486" w:rsidP="00293C6A">
      <w:pPr>
        <w:ind w:right="57" w:firstLine="720"/>
        <w:jc w:val="both"/>
        <w:rPr>
          <w:rFonts w:ascii="Arial" w:hAnsi="Arial" w:cs="Arial"/>
          <w:b/>
          <w:sz w:val="20"/>
          <w:szCs w:val="20"/>
        </w:rPr>
      </w:pPr>
      <w:r w:rsidRPr="00293C6A">
        <w:rPr>
          <w:rFonts w:ascii="Arial" w:hAnsi="Arial" w:cs="Arial"/>
          <w:b/>
          <w:sz w:val="20"/>
          <w:szCs w:val="20"/>
        </w:rPr>
        <w:t>Primljeni zajmovi i otplate</w:t>
      </w:r>
      <w:r w:rsidR="005317CD">
        <w:fldChar w:fldCharType="begin"/>
      </w:r>
      <w:r w:rsidR="005317CD">
        <w:instrText xml:space="preserve"> LINK </w:instrText>
      </w:r>
      <w:r w:rsidR="00F81C42">
        <w:instrText xml:space="preserve">Excel.Sheet.12 "\\\\fs01.ad.korcula.hr\\users$\\bernarda.tomic\\My Documents\\MOJ POSAO BERNARDA\\PRORAČUN I IZVRŠENJE\\IZVRŠENJE PRORAČUNA 21\\godišnji\\proračunska zaliha i banke.xlsx" Banke!R1C1:R4C6 </w:instrText>
      </w:r>
      <w:r w:rsidR="005317CD">
        <w:instrText xml:space="preserve">\a \f 4 \h  \* MERGEFORMAT </w:instrText>
      </w:r>
      <w:r w:rsidR="005317CD">
        <w:fldChar w:fldCharType="separate"/>
      </w:r>
    </w:p>
    <w:tbl>
      <w:tblPr>
        <w:tblW w:w="10066" w:type="dxa"/>
        <w:tblInd w:w="108" w:type="dxa"/>
        <w:tblLook w:val="04A0" w:firstRow="1" w:lastRow="0" w:firstColumn="1" w:lastColumn="0" w:noHBand="0" w:noVBand="1"/>
      </w:tblPr>
      <w:tblGrid>
        <w:gridCol w:w="749"/>
        <w:gridCol w:w="2132"/>
        <w:gridCol w:w="1895"/>
        <w:gridCol w:w="1500"/>
        <w:gridCol w:w="1875"/>
        <w:gridCol w:w="1915"/>
      </w:tblGrid>
      <w:tr w:rsidR="00AE2D9A" w:rsidRPr="00AE2D9A" w14:paraId="705CE3AD" w14:textId="77777777" w:rsidTr="00AE2D9A">
        <w:trPr>
          <w:divId w:val="471293036"/>
          <w:trHeight w:val="6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700CF" w14:textId="7257B839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6D5F8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B83F3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A20108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E5E36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0E9F9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AE2D9A" w:rsidRPr="00AE2D9A" w14:paraId="47404D6E" w14:textId="77777777" w:rsidTr="00AE2D9A">
        <w:trPr>
          <w:divId w:val="471293036"/>
          <w:trHeight w:val="39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451B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DF4" w14:textId="77777777" w:rsidR="00AE2D9A" w:rsidRPr="00AE2D9A" w:rsidRDefault="00AE2D9A" w:rsidP="00AE2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EFA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367.000,02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7E4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367.000,02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6566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F4A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2D9A" w:rsidRPr="00AE2D9A" w14:paraId="6868650A" w14:textId="77777777" w:rsidTr="00AE2D9A">
        <w:trPr>
          <w:divId w:val="471293036"/>
          <w:trHeight w:val="4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3CBF" w14:textId="77777777" w:rsidR="00AE2D9A" w:rsidRPr="00AE2D9A" w:rsidRDefault="00AE2D9A" w:rsidP="00AE2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1F50" w14:textId="77777777" w:rsidR="00AE2D9A" w:rsidRPr="00AE2D9A" w:rsidRDefault="00AE2D9A" w:rsidP="00AE2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152F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14.495.000,00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6CBD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698.891,64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F22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856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13.796.108,36</w:t>
            </w:r>
          </w:p>
        </w:tc>
      </w:tr>
      <w:tr w:rsidR="00AE2D9A" w:rsidRPr="00AE2D9A" w14:paraId="7B97DF73" w14:textId="77777777" w:rsidTr="00AE2D9A">
        <w:trPr>
          <w:divId w:val="471293036"/>
          <w:trHeight w:val="424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91CC2" w14:textId="77777777" w:rsidR="00AE2D9A" w:rsidRPr="00AE2D9A" w:rsidRDefault="00AE2D9A" w:rsidP="00AE2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0F612" w14:textId="77777777" w:rsidR="00AE2D9A" w:rsidRPr="00AE2D9A" w:rsidRDefault="00AE2D9A" w:rsidP="00AE2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7D0833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14.862.000,02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06984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1.065.891,66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CB064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7B216" w14:textId="77777777" w:rsidR="00AE2D9A" w:rsidRPr="00AE2D9A" w:rsidRDefault="00AE2D9A" w:rsidP="00AE2D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2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13.796.108,36</w:t>
            </w:r>
          </w:p>
        </w:tc>
      </w:tr>
    </w:tbl>
    <w:p w14:paraId="359937DB" w14:textId="1947A785" w:rsidR="00832BEB" w:rsidRDefault="005317CD" w:rsidP="00293C6A">
      <w:pPr>
        <w:ind w:right="57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1CC46EA" w14:textId="545E02AB" w:rsidR="00204E2A" w:rsidRPr="00293C6A" w:rsidRDefault="00204E2A" w:rsidP="00293C6A">
      <w:pPr>
        <w:ind w:right="57"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293C6A">
        <w:rPr>
          <w:rFonts w:ascii="Arial" w:hAnsi="Arial" w:cs="Arial"/>
          <w:b/>
          <w:bCs/>
          <w:sz w:val="20"/>
          <w:szCs w:val="20"/>
        </w:rPr>
        <w:t>Dospjele kamate na zajmove</w:t>
      </w: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753"/>
        <w:gridCol w:w="2144"/>
        <w:gridCol w:w="1905"/>
        <w:gridCol w:w="1508"/>
        <w:gridCol w:w="1885"/>
        <w:gridCol w:w="1925"/>
      </w:tblGrid>
      <w:tr w:rsidR="005317CD" w:rsidRPr="005317CD" w14:paraId="02658A8D" w14:textId="77777777" w:rsidTr="006F0737">
        <w:trPr>
          <w:trHeight w:val="5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299C17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5F8CB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666CD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2A542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AA633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6C877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5317CD" w:rsidRPr="005317CD" w14:paraId="432AFBA6" w14:textId="77777777" w:rsidTr="006F0737">
        <w:trPr>
          <w:trHeight w:val="42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684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EA3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2507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595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2.102,05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F61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2.102,05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572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317CD" w:rsidRPr="005317CD" w14:paraId="0E28AFD5" w14:textId="77777777" w:rsidTr="006F0737">
        <w:trPr>
          <w:trHeight w:val="42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2D9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CFA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(interkalarna kta)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D1C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04A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146.608,09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DDE8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146.608,09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431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F0737" w:rsidRPr="005317CD" w14:paraId="04BCFD26" w14:textId="77777777" w:rsidTr="006F0737">
        <w:trPr>
          <w:trHeight w:val="42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E44A9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CEFC5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73361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1AEFC5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148.710,14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6D491D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148.710,14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A8A6B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081A0780" w14:textId="23E575A7" w:rsidR="00E43486" w:rsidRDefault="00E43486" w:rsidP="00E43486">
      <w:pPr>
        <w:spacing w:after="0"/>
      </w:pPr>
    </w:p>
    <w:p w14:paraId="34DF3AB2" w14:textId="6708B8E4" w:rsidR="0036299D" w:rsidRDefault="0036299D" w:rsidP="00E43486">
      <w:pPr>
        <w:spacing w:after="0"/>
      </w:pPr>
    </w:p>
    <w:p w14:paraId="54AA02CE" w14:textId="77777777" w:rsidR="007202CD" w:rsidRDefault="007202CD" w:rsidP="00E43486">
      <w:pPr>
        <w:spacing w:after="0"/>
      </w:pPr>
    </w:p>
    <w:p w14:paraId="2255E125" w14:textId="2B8F04D9" w:rsidR="009E1861" w:rsidRDefault="009E1861" w:rsidP="00E43486">
      <w:pPr>
        <w:spacing w:after="0"/>
      </w:pPr>
    </w:p>
    <w:p w14:paraId="28B9CF14" w14:textId="7B49E85C" w:rsidR="00A17F73" w:rsidRDefault="00A17F73" w:rsidP="00E43486">
      <w:pPr>
        <w:spacing w:after="0"/>
      </w:pPr>
    </w:p>
    <w:p w14:paraId="5D64172B" w14:textId="63D9AF4D" w:rsidR="00A17F73" w:rsidRDefault="00A17F73" w:rsidP="00E43486">
      <w:pPr>
        <w:spacing w:after="0"/>
      </w:pPr>
    </w:p>
    <w:p w14:paraId="3126FF48" w14:textId="77777777" w:rsidR="00A17F73" w:rsidRPr="000B246B" w:rsidRDefault="00A17F73" w:rsidP="00E43486">
      <w:pPr>
        <w:spacing w:after="0"/>
        <w:rPr>
          <w:vanish/>
        </w:rPr>
      </w:pPr>
    </w:p>
    <w:p w14:paraId="37B80BAA" w14:textId="6393D129" w:rsidR="005A3911" w:rsidRPr="005B0802" w:rsidRDefault="005A3911" w:rsidP="005A3911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906B08">
        <w:rPr>
          <w:rFonts w:ascii="Arial" w:hAnsi="Arial" w:cs="Arial"/>
          <w:b/>
          <w:i/>
          <w:sz w:val="20"/>
          <w:szCs w:val="20"/>
          <w:u w:val="single"/>
        </w:rPr>
        <w:t>Izvještaj o korištenju</w:t>
      </w:r>
      <w:r w:rsidRPr="00776AF3">
        <w:rPr>
          <w:rFonts w:ascii="Arial" w:hAnsi="Arial" w:cs="Arial"/>
          <w:b/>
          <w:i/>
          <w:sz w:val="20"/>
          <w:szCs w:val="20"/>
          <w:u w:val="single"/>
        </w:rPr>
        <w:t xml:space="preserve"> proračunske zalihe</w:t>
      </w:r>
      <w:r w:rsidRPr="000B4F50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F0737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2AA45C7D" w14:textId="75F9EC95" w:rsidR="005A3911" w:rsidRPr="00E12B3E" w:rsidRDefault="005A3911" w:rsidP="005A3911">
      <w:pPr>
        <w:ind w:right="57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12B3E">
        <w:rPr>
          <w:rFonts w:ascii="Arial" w:hAnsi="Arial" w:cs="Arial"/>
          <w:sz w:val="20"/>
          <w:szCs w:val="20"/>
        </w:rPr>
        <w:t>U 202</w:t>
      </w:r>
      <w:r w:rsidR="0060235A">
        <w:rPr>
          <w:rFonts w:ascii="Arial" w:hAnsi="Arial" w:cs="Arial"/>
          <w:sz w:val="20"/>
          <w:szCs w:val="20"/>
        </w:rPr>
        <w:t>1</w:t>
      </w:r>
      <w:r w:rsidRPr="00E12B3E">
        <w:rPr>
          <w:rFonts w:ascii="Arial" w:hAnsi="Arial" w:cs="Arial"/>
          <w:sz w:val="20"/>
          <w:szCs w:val="20"/>
        </w:rPr>
        <w:t xml:space="preserve">.godini planirana je proračunska zaliha od </w:t>
      </w:r>
      <w:r w:rsidR="0060235A">
        <w:rPr>
          <w:rFonts w:ascii="Arial" w:hAnsi="Arial" w:cs="Arial"/>
          <w:sz w:val="20"/>
          <w:szCs w:val="20"/>
        </w:rPr>
        <w:t>116.320</w:t>
      </w:r>
      <w:r w:rsidRPr="00E12B3E">
        <w:rPr>
          <w:rFonts w:ascii="Arial" w:hAnsi="Arial" w:cs="Arial"/>
          <w:sz w:val="20"/>
          <w:szCs w:val="20"/>
        </w:rPr>
        <w:t xml:space="preserve"> kuna za neplanirane i nedovoljno planirane rashode tijekom godine. Ukupno je raspoređeno</w:t>
      </w:r>
      <w:r w:rsidR="007811AB">
        <w:rPr>
          <w:rFonts w:ascii="Arial" w:hAnsi="Arial" w:cs="Arial"/>
          <w:sz w:val="20"/>
          <w:szCs w:val="20"/>
        </w:rPr>
        <w:t xml:space="preserve"> 112.545,01</w:t>
      </w:r>
      <w:r w:rsidR="0039636C" w:rsidRPr="00E12B3E">
        <w:rPr>
          <w:rFonts w:ascii="Arial" w:hAnsi="Arial" w:cs="Arial"/>
          <w:sz w:val="20"/>
          <w:szCs w:val="20"/>
        </w:rPr>
        <w:t xml:space="preserve"> </w:t>
      </w:r>
      <w:r w:rsidRPr="00E12B3E">
        <w:rPr>
          <w:rFonts w:ascii="Arial" w:hAnsi="Arial" w:cs="Arial"/>
          <w:sz w:val="20"/>
          <w:szCs w:val="20"/>
        </w:rPr>
        <w:t>kuna za programe koji su prikazani u tablici koja slijedi. U tablici se navodi opis aktivnosti, korisnik sredstava, iznos odobrenih sredstava, datum isplate</w:t>
      </w:r>
      <w:r w:rsidR="007811AB">
        <w:rPr>
          <w:rFonts w:ascii="Arial" w:hAnsi="Arial" w:cs="Arial"/>
          <w:sz w:val="20"/>
          <w:szCs w:val="20"/>
        </w:rPr>
        <w:t>,</w:t>
      </w:r>
      <w:r w:rsidRPr="00E12B3E">
        <w:rPr>
          <w:rFonts w:ascii="Arial" w:hAnsi="Arial" w:cs="Arial"/>
          <w:sz w:val="20"/>
          <w:szCs w:val="20"/>
        </w:rPr>
        <w:t xml:space="preserve"> te klasifikacijska oznaka dokumenta kojim se odobrava pojedina isplata.</w:t>
      </w:r>
      <w:r w:rsidRPr="00E12B3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B2987B" w14:textId="77777777" w:rsidR="007202CD" w:rsidRDefault="007202CD" w:rsidP="005A3911">
      <w:pPr>
        <w:tabs>
          <w:tab w:val="left" w:pos="4896"/>
        </w:tabs>
        <w:ind w:right="57"/>
        <w:rPr>
          <w:rFonts w:ascii="Arial" w:hAnsi="Arial" w:cs="Arial"/>
          <w:b/>
          <w:bCs/>
          <w:sz w:val="20"/>
          <w:szCs w:val="20"/>
        </w:rPr>
      </w:pPr>
    </w:p>
    <w:p w14:paraId="7E7CF82E" w14:textId="193A7BF8" w:rsidR="005A3911" w:rsidRPr="00E12B3E" w:rsidRDefault="005A3911" w:rsidP="005A3911">
      <w:pPr>
        <w:tabs>
          <w:tab w:val="left" w:pos="4896"/>
        </w:tabs>
        <w:ind w:right="57"/>
        <w:rPr>
          <w:rFonts w:ascii="Arial" w:hAnsi="Arial" w:cs="Arial"/>
          <w:b/>
          <w:bCs/>
          <w:sz w:val="20"/>
          <w:szCs w:val="20"/>
        </w:rPr>
      </w:pPr>
      <w:r w:rsidRPr="00E12B3E">
        <w:rPr>
          <w:rFonts w:ascii="Arial" w:hAnsi="Arial" w:cs="Arial"/>
          <w:b/>
          <w:bCs/>
          <w:sz w:val="20"/>
          <w:szCs w:val="20"/>
        </w:rPr>
        <w:t>Izvještaj o korištenju  proračunske zalihe (A210108)</w:t>
      </w:r>
      <w:r w:rsidRPr="00E12B3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3746" w:type="dxa"/>
        <w:tblInd w:w="118" w:type="dxa"/>
        <w:tblLook w:val="04A0" w:firstRow="1" w:lastRow="0" w:firstColumn="1" w:lastColumn="0" w:noHBand="0" w:noVBand="1"/>
      </w:tblPr>
      <w:tblGrid>
        <w:gridCol w:w="648"/>
        <w:gridCol w:w="4766"/>
        <w:gridCol w:w="3409"/>
        <w:gridCol w:w="1337"/>
        <w:gridCol w:w="1640"/>
        <w:gridCol w:w="1946"/>
      </w:tblGrid>
      <w:tr w:rsidR="0060235A" w:rsidRPr="0060235A" w14:paraId="7101B799" w14:textId="77777777" w:rsidTr="007811AB">
        <w:trPr>
          <w:trHeight w:val="32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E75FB6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Rbr.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4FB10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Opis / Projekt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47CA71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2E038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Iznos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4B2266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Isplaćeno dana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773654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Odluka - Klasa</w:t>
            </w:r>
          </w:p>
        </w:tc>
      </w:tr>
      <w:tr w:rsidR="007811AB" w:rsidRPr="0060235A" w14:paraId="4C284BF1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21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45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sanaciju štete zbog potresa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72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Grad Petrinja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4142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30.000,00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A5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04.01.2021.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FF26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421-01/2001/04</w:t>
            </w:r>
          </w:p>
        </w:tc>
      </w:tr>
      <w:tr w:rsidR="007811AB" w:rsidRPr="0060235A" w14:paraId="409EDCA8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2F0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8AD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sanaciju štete zbog potresa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C1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Grad Sisak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7AF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8055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04.01.2021.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E27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421-01/2001/04</w:t>
            </w:r>
          </w:p>
        </w:tc>
      </w:tr>
      <w:tr w:rsidR="007811AB" w:rsidRPr="0060235A" w14:paraId="293C4529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DA1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FBD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sanaciju štete zbog potresa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C9E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Grad Glina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3C2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6BE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04.01.2021.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4615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421-01/2001/04</w:t>
            </w:r>
          </w:p>
        </w:tc>
      </w:tr>
      <w:tr w:rsidR="007811AB" w:rsidRPr="0060235A" w14:paraId="16BBC79F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BD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8EE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blagoslov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1D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Župa Sv.Marka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5925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16F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05.01.2021.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65DE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402-08/21-01/01</w:t>
            </w:r>
          </w:p>
        </w:tc>
      </w:tr>
      <w:tr w:rsidR="007811AB" w:rsidRPr="0060235A" w14:paraId="2674B89B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EDA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507F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od prodaje svijeća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BC1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O.Š.Siniša Glavašević Vukovar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A900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80,10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68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27.01.2021.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0B4F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402-03/20-01/37</w:t>
            </w:r>
          </w:p>
        </w:tc>
      </w:tr>
      <w:tr w:rsidR="007811AB" w:rsidRPr="0060235A" w14:paraId="4EA99F84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327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EFE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Pomoć za logopeda i rehabilitatora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61D4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Fizička osoba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016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4F6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15.02.2021.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692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402-01/21-01/04</w:t>
            </w:r>
          </w:p>
        </w:tc>
      </w:tr>
      <w:tr w:rsidR="007811AB" w:rsidRPr="0060235A" w14:paraId="236951AF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F52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C652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Bakalar za maškare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2975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KKK Bonkulovići Korčula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361D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465,93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AA6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09.03.2021.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661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UR-210120/2021</w:t>
            </w:r>
          </w:p>
        </w:tc>
      </w:tr>
      <w:tr w:rsidR="007811AB" w:rsidRPr="0060235A" w14:paraId="07951E85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76A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84FE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Plaćanje prijevoza na festu sv.Vlaha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C50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Župljani Korčule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D350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6D44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15.03.2021.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B54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UR-210126/2021</w:t>
            </w:r>
          </w:p>
        </w:tc>
      </w:tr>
      <w:tr w:rsidR="007811AB" w:rsidRPr="0060235A" w14:paraId="2076F4AC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9C18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55F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Plaćanje čaša za promociju knjige Crnomiri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22B6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klapa Crnomiri Čara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163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4.322,25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3F51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23.03.2021.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FAC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UR-210167/2021</w:t>
            </w:r>
          </w:p>
        </w:tc>
      </w:tr>
      <w:tr w:rsidR="007811AB" w:rsidRPr="0060235A" w14:paraId="60BA0A6F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36F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E9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Pomoć za liječenje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30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Fizička osoba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E035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88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4DC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402-03/21-01/13</w:t>
            </w:r>
          </w:p>
        </w:tc>
      </w:tr>
      <w:tr w:rsidR="007811AB" w:rsidRPr="0060235A" w14:paraId="00E9774F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2C2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AC0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rad Udruge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767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Udruga veterana 4.gard.brig.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857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6F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9964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402-03/21-01/10</w:t>
            </w:r>
          </w:p>
        </w:tc>
      </w:tr>
      <w:tr w:rsidR="007811AB" w:rsidRPr="0060235A" w14:paraId="28AAF5B8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D58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72EC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obnovu bazilike Srca Isusova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B7C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Pastoralni centar A.Carević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FC3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4CF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F548A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402-03/21-01/17</w:t>
            </w:r>
          </w:p>
        </w:tc>
      </w:tr>
      <w:tr w:rsidR="007811AB" w:rsidRPr="0060235A" w14:paraId="1D87359B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678A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ED9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izgradnju pastoralnog centra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F33D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MPCO Sv.Zlata Meglenska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764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4775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556D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402-03/21-01/12</w:t>
            </w:r>
          </w:p>
        </w:tc>
      </w:tr>
      <w:tr w:rsidR="007811AB" w:rsidRPr="0060235A" w14:paraId="058AE09C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A4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E73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obljetnicu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C41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Počasni Bleiburški vod Zagreb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615C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5A8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10.05.2021.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32B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402-03/21-01/20</w:t>
            </w:r>
          </w:p>
        </w:tc>
      </w:tr>
      <w:tr w:rsidR="007811AB" w:rsidRPr="0060235A" w14:paraId="41981F9F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382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ECF7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 xml:space="preserve">Donacija za projekt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984C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Kutak knjiga d.o.o.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9E8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1.754,17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E25E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18.05.2021.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F802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401-03/21-01/18</w:t>
            </w:r>
          </w:p>
        </w:tc>
      </w:tr>
      <w:tr w:rsidR="007811AB" w:rsidRPr="0060235A" w14:paraId="1FF4F502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7C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E4E0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turnir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8B1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Boćarski klub Sv.Antun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46AE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CE1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10.06.2021.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F4B1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402-03/21-01/25</w:t>
            </w:r>
          </w:p>
        </w:tc>
      </w:tr>
      <w:tr w:rsidR="007811AB" w:rsidRPr="0060235A" w14:paraId="30F22DE5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04E0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D33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Pomoć za "Otvaranje Korčulanskog lita"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758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Udruga Pauk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3B8E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6F3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10.06.2021.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1090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402-03/21-01/24</w:t>
            </w:r>
          </w:p>
        </w:tc>
      </w:tr>
      <w:tr w:rsidR="007811AB" w:rsidRPr="0060235A" w14:paraId="51369B29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6BE7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6239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nabavu reagensa analizatora krvi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EE5C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Zavod za hitnu medicinu DNŽ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2E77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C6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10.06.2021.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E89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402-01/21-01/09</w:t>
            </w:r>
          </w:p>
        </w:tc>
      </w:tr>
      <w:tr w:rsidR="0060235A" w:rsidRPr="0060235A" w14:paraId="7AE744F1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62B7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D2C1" w14:textId="2941A7A6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Donac.za monog</w:t>
            </w:r>
            <w:r w:rsidR="007811AB">
              <w:rPr>
                <w:rFonts w:eastAsia="Times New Roman" w:cs="Calibri"/>
                <w:color w:val="000000"/>
                <w:lang w:eastAsia="hr-HR"/>
              </w:rPr>
              <w:t>rafiju „</w:t>
            </w:r>
            <w:r w:rsidRPr="0060235A">
              <w:rPr>
                <w:rFonts w:eastAsia="Times New Roman" w:cs="Calibri"/>
                <w:color w:val="000000"/>
                <w:lang w:eastAsia="hr-HR"/>
              </w:rPr>
              <w:t>Pošip bijeli u čašama zlato</w:t>
            </w:r>
            <w:r w:rsidR="007811AB">
              <w:rPr>
                <w:rFonts w:eastAsia="Times New Roman" w:cs="Calibri"/>
                <w:color w:val="000000"/>
                <w:lang w:eastAsia="hr-HR"/>
              </w:rPr>
              <w:t>“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2DE" w14:textId="5F2E6858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Druš</w:t>
            </w:r>
            <w:r w:rsidR="007811AB">
              <w:rPr>
                <w:rFonts w:eastAsia="Times New Roman" w:cs="Calibri"/>
                <w:color w:val="000000"/>
                <w:lang w:eastAsia="hr-HR"/>
              </w:rPr>
              <w:t xml:space="preserve">tvo </w:t>
            </w:r>
            <w:r w:rsidRPr="0060235A">
              <w:rPr>
                <w:rFonts w:eastAsia="Times New Roman" w:cs="Calibri"/>
                <w:color w:val="000000"/>
                <w:lang w:eastAsia="hr-HR"/>
              </w:rPr>
              <w:t>prijatelja Vino u tradiciji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91F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D87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17.08.2021.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739E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402-03/21-01/36</w:t>
            </w:r>
          </w:p>
        </w:tc>
      </w:tr>
      <w:tr w:rsidR="007811AB" w:rsidRPr="0060235A" w14:paraId="68C32EC1" w14:textId="77777777" w:rsidTr="007811AB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DBDF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lastRenderedPageBreak/>
              <w:t>20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B97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tiskanje knjige Katedrala Sv.Marka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164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Fizička osoba 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B86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77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17.08.2021.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D7CA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402-03/21-01/32</w:t>
            </w:r>
          </w:p>
        </w:tc>
      </w:tr>
      <w:tr w:rsidR="007811AB" w:rsidRPr="0060235A" w14:paraId="121011CC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22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0F5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film "Hrvatska moja domovina"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F7B1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Prime time film j.d.o.o.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EC6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B16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24.08.2021.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3042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UR-210724/2021</w:t>
            </w:r>
          </w:p>
        </w:tc>
      </w:tr>
      <w:tr w:rsidR="007811AB" w:rsidRPr="0060235A" w14:paraId="0C00CD50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6CF8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1FDE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fond školske knjižnice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CD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O.Š.Petar Kanavelić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952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4.689,88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1C7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16.09.2021.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97E4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402-03/21-01/43</w:t>
            </w:r>
          </w:p>
        </w:tc>
      </w:tr>
      <w:tr w:rsidR="007811AB" w:rsidRPr="0060235A" w14:paraId="5A14A10E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347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1ED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proslavu dana oslobođenja Grada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7042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Udruga antifašista Korčule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98E6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26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16.09.2021.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A9D8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402-03/21-01/41</w:t>
            </w:r>
          </w:p>
        </w:tc>
      </w:tr>
      <w:tr w:rsidR="007811AB" w:rsidRPr="0060235A" w14:paraId="11BC3C0B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AE7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16F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liječenje Fizičke osobe 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048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GD Crvenog križa Šibenik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5A4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C78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12.10.2021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1CAE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402-03/21-01/45</w:t>
            </w:r>
          </w:p>
        </w:tc>
      </w:tr>
      <w:tr w:rsidR="007811AB" w:rsidRPr="0060235A" w14:paraId="669CE09B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3D25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BC3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Financijska pomoć za potrebite građane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037A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GD Crvenog križa Korčula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3EC7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5.865,95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1DE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12.11.2021.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B8DE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402-03/21-01/48</w:t>
            </w:r>
          </w:p>
        </w:tc>
      </w:tr>
      <w:tr w:rsidR="007811AB" w:rsidRPr="0060235A" w14:paraId="5A7FBB1D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90D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95F2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konzumaciju hrane pri susretu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38D6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0235A">
              <w:rPr>
                <w:rFonts w:eastAsia="Times New Roman" w:cs="Calibri"/>
                <w:lang w:eastAsia="hr-HR"/>
              </w:rPr>
              <w:t>Pokret Otoka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E00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5.400,27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A20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01.12.2021.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7D5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UR-211029/2021</w:t>
            </w:r>
          </w:p>
        </w:tc>
      </w:tr>
      <w:tr w:rsidR="007811AB" w:rsidRPr="0060235A" w14:paraId="43B4F804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412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B85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spomen obilježje Petra Crnomira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5199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KUD Petar Crnomir Čara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52EA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6.562,50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D06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15.12.2021.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8AEA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402-03/21-01/13</w:t>
            </w:r>
          </w:p>
        </w:tc>
      </w:tr>
      <w:tr w:rsidR="007811AB" w:rsidRPr="0060235A" w14:paraId="713B6995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9676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DAA6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Vukovarski lampioni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B78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UOSI Prijatelj Metković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A46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8DE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16.12.2021.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EE7F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UR-211087/2021</w:t>
            </w:r>
          </w:p>
        </w:tc>
      </w:tr>
      <w:tr w:rsidR="007811AB" w:rsidRPr="0060235A" w14:paraId="2ABE8AC0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651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668B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Donacija za marketing hrvatskih vina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C301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Udruga za kulturu stola G.E.T.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567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BAAC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21.12.2021.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FB53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402-03/21-01/14</w:t>
            </w:r>
          </w:p>
        </w:tc>
      </w:tr>
      <w:tr w:rsidR="007811AB" w:rsidRPr="0060235A" w14:paraId="5AAB41C1" w14:textId="77777777" w:rsidTr="007811AB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B4B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30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A64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Teleći but za umirovljenike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48C5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Dom za starije osobe Korčula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6A42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1.103,96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44C2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30.12.2021.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BE10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UR-211202/2021</w:t>
            </w:r>
          </w:p>
        </w:tc>
      </w:tr>
      <w:tr w:rsidR="0060235A" w:rsidRPr="0060235A" w14:paraId="7E6D2478" w14:textId="77777777" w:rsidTr="007811AB">
        <w:trPr>
          <w:trHeight w:val="328"/>
        </w:trPr>
        <w:tc>
          <w:tcPr>
            <w:tcW w:w="64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7067010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D0605AE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3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B14C564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6E57DB8" w14:textId="77777777" w:rsidR="0060235A" w:rsidRPr="0060235A" w:rsidRDefault="0060235A" w:rsidP="0060235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b/>
                <w:bCs/>
                <w:color w:val="000000"/>
                <w:lang w:eastAsia="hr-HR"/>
              </w:rPr>
              <w:t>112.545,01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D14E75F" w14:textId="77777777" w:rsidR="0060235A" w:rsidRPr="0060235A" w:rsidRDefault="0060235A" w:rsidP="006023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5FCCDB9" w14:textId="77777777" w:rsidR="0060235A" w:rsidRPr="0060235A" w:rsidRDefault="0060235A" w:rsidP="006023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0235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5653643C" w14:textId="77777777" w:rsidR="0018699F" w:rsidRDefault="0018699F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21D8DE17" w14:textId="77777777" w:rsidR="00983054" w:rsidRDefault="00983054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537802D4" w14:textId="17CCD0C7" w:rsidR="00E43486" w:rsidRDefault="00E43486" w:rsidP="00E43486">
      <w:pPr>
        <w:jc w:val="both"/>
        <w:rPr>
          <w:rFonts w:ascii="Arial" w:hAnsi="Arial" w:cs="Arial"/>
          <w:b/>
          <w:i/>
          <w:u w:val="single"/>
        </w:rPr>
      </w:pPr>
      <w:r w:rsidRPr="00906B08">
        <w:rPr>
          <w:rFonts w:ascii="Arial" w:hAnsi="Arial" w:cs="Arial"/>
          <w:b/>
          <w:i/>
          <w:u w:val="single"/>
        </w:rPr>
        <w:t>Stanje nenaplaćenih</w:t>
      </w:r>
      <w:r w:rsidRPr="00544F23">
        <w:rPr>
          <w:rFonts w:ascii="Arial" w:hAnsi="Arial" w:cs="Arial"/>
          <w:b/>
          <w:i/>
          <w:u w:val="single"/>
        </w:rPr>
        <w:t xml:space="preserve"> potraživanja</w:t>
      </w:r>
    </w:p>
    <w:p w14:paraId="39234B66" w14:textId="7106D1CD" w:rsidR="00E43486" w:rsidRPr="00165088" w:rsidRDefault="00137AB1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dan 31.12.20</w:t>
      </w:r>
      <w:r w:rsidR="002C3480">
        <w:rPr>
          <w:rFonts w:ascii="Arial" w:hAnsi="Arial" w:cs="Arial"/>
          <w:sz w:val="20"/>
          <w:szCs w:val="20"/>
        </w:rPr>
        <w:t>2</w:t>
      </w:r>
      <w:r w:rsidR="009B6C84">
        <w:rPr>
          <w:rFonts w:ascii="Arial" w:hAnsi="Arial" w:cs="Arial"/>
          <w:sz w:val="20"/>
          <w:szCs w:val="20"/>
        </w:rPr>
        <w:t>1</w:t>
      </w:r>
      <w:r w:rsidR="00E43486" w:rsidRPr="00D04794">
        <w:rPr>
          <w:rFonts w:ascii="Arial" w:hAnsi="Arial" w:cs="Arial"/>
          <w:sz w:val="20"/>
          <w:szCs w:val="20"/>
        </w:rPr>
        <w:t>.</w:t>
      </w:r>
      <w:r w:rsidR="002C3480">
        <w:rPr>
          <w:rFonts w:ascii="Arial" w:hAnsi="Arial" w:cs="Arial"/>
          <w:sz w:val="20"/>
          <w:szCs w:val="20"/>
        </w:rPr>
        <w:t xml:space="preserve"> </w:t>
      </w:r>
      <w:r w:rsidR="00E43486" w:rsidRPr="00D04794">
        <w:rPr>
          <w:rFonts w:ascii="Arial" w:hAnsi="Arial" w:cs="Arial"/>
          <w:sz w:val="20"/>
          <w:szCs w:val="20"/>
        </w:rPr>
        <w:t xml:space="preserve">godine ukupan iznos nenaplaćenih potraživanja Proračuna iznosi </w:t>
      </w:r>
      <w:r w:rsidR="005A69C0" w:rsidRPr="00D04794">
        <w:rPr>
          <w:rFonts w:ascii="Arial" w:hAnsi="Arial" w:cs="Arial"/>
          <w:b/>
          <w:sz w:val="20"/>
          <w:szCs w:val="20"/>
        </w:rPr>
        <w:t>1</w:t>
      </w:r>
      <w:r w:rsidR="009B6C84">
        <w:rPr>
          <w:rFonts w:ascii="Arial" w:hAnsi="Arial" w:cs="Arial"/>
          <w:b/>
          <w:sz w:val="20"/>
          <w:szCs w:val="20"/>
        </w:rPr>
        <w:t>0.489.942</w:t>
      </w:r>
      <w:r w:rsidR="00E43486" w:rsidRPr="00D04794">
        <w:rPr>
          <w:rFonts w:ascii="Arial" w:hAnsi="Arial" w:cs="Arial"/>
          <w:sz w:val="20"/>
          <w:szCs w:val="20"/>
        </w:rPr>
        <w:t xml:space="preserve"> kn</w:t>
      </w:r>
      <w:r w:rsidR="009D07C7">
        <w:rPr>
          <w:rFonts w:ascii="Arial" w:hAnsi="Arial" w:cs="Arial"/>
          <w:sz w:val="20"/>
          <w:szCs w:val="20"/>
        </w:rPr>
        <w:t xml:space="preserve"> od čega se 3.</w:t>
      </w:r>
      <w:r w:rsidR="009B6C84">
        <w:rPr>
          <w:rFonts w:ascii="Arial" w:hAnsi="Arial" w:cs="Arial"/>
          <w:sz w:val="20"/>
          <w:szCs w:val="20"/>
        </w:rPr>
        <w:t>327.299</w:t>
      </w:r>
      <w:r w:rsidR="009D07C7">
        <w:rPr>
          <w:rFonts w:ascii="Arial" w:hAnsi="Arial" w:cs="Arial"/>
          <w:sz w:val="20"/>
          <w:szCs w:val="20"/>
        </w:rPr>
        <w:t xml:space="preserve"> kn odnosi na potraživanja za komunalnu i vodnu naknadu, 1.</w:t>
      </w:r>
      <w:r w:rsidR="009B6C84">
        <w:rPr>
          <w:rFonts w:ascii="Arial" w:hAnsi="Arial" w:cs="Arial"/>
          <w:sz w:val="20"/>
          <w:szCs w:val="20"/>
        </w:rPr>
        <w:t>943.179</w:t>
      </w:r>
      <w:r w:rsidR="009D07C7">
        <w:rPr>
          <w:rFonts w:ascii="Arial" w:hAnsi="Arial" w:cs="Arial"/>
          <w:sz w:val="20"/>
          <w:szCs w:val="20"/>
        </w:rPr>
        <w:t xml:space="preserve"> kn na novčane kazne, 1.</w:t>
      </w:r>
      <w:r w:rsidR="009B6C84">
        <w:rPr>
          <w:rFonts w:ascii="Arial" w:hAnsi="Arial" w:cs="Arial"/>
          <w:sz w:val="20"/>
          <w:szCs w:val="20"/>
        </w:rPr>
        <w:t>529.955</w:t>
      </w:r>
      <w:r w:rsidR="009D07C7">
        <w:rPr>
          <w:rFonts w:ascii="Arial" w:hAnsi="Arial" w:cs="Arial"/>
          <w:sz w:val="20"/>
          <w:szCs w:val="20"/>
        </w:rPr>
        <w:t xml:space="preserve"> kn boravišnu pristojbu, 1.</w:t>
      </w:r>
      <w:r w:rsidR="009B6C84">
        <w:rPr>
          <w:rFonts w:ascii="Arial" w:hAnsi="Arial" w:cs="Arial"/>
          <w:sz w:val="20"/>
          <w:szCs w:val="20"/>
        </w:rPr>
        <w:t>091.693</w:t>
      </w:r>
      <w:r w:rsidR="009D07C7">
        <w:rPr>
          <w:rFonts w:ascii="Arial" w:hAnsi="Arial" w:cs="Arial"/>
          <w:sz w:val="20"/>
          <w:szCs w:val="20"/>
        </w:rPr>
        <w:t xml:space="preserve"> kn na porez na kuće za odmor, </w:t>
      </w:r>
      <w:r w:rsidR="009B6C84">
        <w:rPr>
          <w:rFonts w:ascii="Arial" w:hAnsi="Arial" w:cs="Arial"/>
          <w:sz w:val="20"/>
          <w:szCs w:val="20"/>
        </w:rPr>
        <w:t>511.412</w:t>
      </w:r>
      <w:r w:rsidR="009D07C7">
        <w:rPr>
          <w:rFonts w:ascii="Arial" w:hAnsi="Arial" w:cs="Arial"/>
          <w:sz w:val="20"/>
          <w:szCs w:val="20"/>
        </w:rPr>
        <w:t xml:space="preserve"> kn naknade za javnu površinu, </w:t>
      </w:r>
      <w:r w:rsidR="002A5464">
        <w:rPr>
          <w:rFonts w:ascii="Arial" w:hAnsi="Arial" w:cs="Arial"/>
          <w:sz w:val="20"/>
          <w:szCs w:val="20"/>
        </w:rPr>
        <w:t>538.838</w:t>
      </w:r>
      <w:r w:rsidR="009D07C7">
        <w:rPr>
          <w:rFonts w:ascii="Arial" w:hAnsi="Arial" w:cs="Arial"/>
          <w:sz w:val="20"/>
          <w:szCs w:val="20"/>
        </w:rPr>
        <w:t xml:space="preserve"> kn naknade za razvoj od NPKLM vodovoda, </w:t>
      </w:r>
      <w:r w:rsidR="002A5464">
        <w:rPr>
          <w:rFonts w:ascii="Arial" w:hAnsi="Arial" w:cs="Arial"/>
          <w:sz w:val="20"/>
          <w:szCs w:val="20"/>
        </w:rPr>
        <w:t>310.100</w:t>
      </w:r>
      <w:r w:rsidR="009D07C7">
        <w:rPr>
          <w:rFonts w:ascii="Arial" w:hAnsi="Arial" w:cs="Arial"/>
          <w:sz w:val="20"/>
          <w:szCs w:val="20"/>
        </w:rPr>
        <w:t xml:space="preserve"> kn komunalnog doprinosa, </w:t>
      </w:r>
      <w:r w:rsidR="002A5464">
        <w:rPr>
          <w:rFonts w:ascii="Arial" w:hAnsi="Arial" w:cs="Arial"/>
          <w:sz w:val="20"/>
          <w:szCs w:val="20"/>
        </w:rPr>
        <w:t>350.174</w:t>
      </w:r>
      <w:r w:rsidR="009D07C7">
        <w:rPr>
          <w:rFonts w:ascii="Arial" w:hAnsi="Arial" w:cs="Arial"/>
          <w:sz w:val="20"/>
          <w:szCs w:val="20"/>
        </w:rPr>
        <w:t xml:space="preserve"> kn naknade na zakup poslovnih prostora, 2</w:t>
      </w:r>
      <w:r w:rsidR="002A5464">
        <w:rPr>
          <w:rFonts w:ascii="Arial" w:hAnsi="Arial" w:cs="Arial"/>
          <w:sz w:val="20"/>
          <w:szCs w:val="20"/>
        </w:rPr>
        <w:t>48.087</w:t>
      </w:r>
      <w:r w:rsidR="009D07C7">
        <w:rPr>
          <w:rFonts w:ascii="Arial" w:hAnsi="Arial" w:cs="Arial"/>
          <w:sz w:val="20"/>
          <w:szCs w:val="20"/>
        </w:rPr>
        <w:t xml:space="preserve"> kn spomeničke rente, </w:t>
      </w:r>
      <w:r w:rsidR="00165088">
        <w:rPr>
          <w:rFonts w:ascii="Arial" w:hAnsi="Arial" w:cs="Arial"/>
          <w:sz w:val="20"/>
          <w:szCs w:val="20"/>
        </w:rPr>
        <w:t xml:space="preserve">188.722 kn od prodaje stanova, </w:t>
      </w:r>
      <w:r w:rsidR="002A5464">
        <w:rPr>
          <w:rFonts w:ascii="Arial" w:hAnsi="Arial" w:cs="Arial"/>
          <w:sz w:val="20"/>
          <w:szCs w:val="20"/>
        </w:rPr>
        <w:t>113.873</w:t>
      </w:r>
      <w:r w:rsidR="009D07C7">
        <w:rPr>
          <w:rFonts w:ascii="Arial" w:hAnsi="Arial" w:cs="Arial"/>
          <w:sz w:val="20"/>
          <w:szCs w:val="20"/>
        </w:rPr>
        <w:t xml:space="preserve"> kn poreza na potrošnju</w:t>
      </w:r>
      <w:r w:rsidR="002A5464">
        <w:rPr>
          <w:rFonts w:ascii="Arial" w:hAnsi="Arial" w:cs="Arial"/>
          <w:sz w:val="20"/>
          <w:szCs w:val="20"/>
        </w:rPr>
        <w:t>, 34.421 kn stanarine,</w:t>
      </w:r>
      <w:r w:rsidR="009D07C7">
        <w:rPr>
          <w:rFonts w:ascii="Arial" w:hAnsi="Arial" w:cs="Arial"/>
          <w:sz w:val="20"/>
          <w:szCs w:val="20"/>
        </w:rPr>
        <w:t xml:space="preserve"> te ostale gradske naknade. Iznosi potraživanja iz 201</w:t>
      </w:r>
      <w:r w:rsidR="00165088">
        <w:rPr>
          <w:rFonts w:ascii="Arial" w:hAnsi="Arial" w:cs="Arial"/>
          <w:sz w:val="20"/>
          <w:szCs w:val="20"/>
        </w:rPr>
        <w:t>4</w:t>
      </w:r>
      <w:r w:rsidR="009D07C7">
        <w:rPr>
          <w:rFonts w:ascii="Arial" w:hAnsi="Arial" w:cs="Arial"/>
          <w:sz w:val="20"/>
          <w:szCs w:val="20"/>
        </w:rPr>
        <w:t>.</w:t>
      </w:r>
      <w:r w:rsidR="00165088">
        <w:rPr>
          <w:rFonts w:ascii="Arial" w:hAnsi="Arial" w:cs="Arial"/>
          <w:sz w:val="20"/>
          <w:szCs w:val="20"/>
        </w:rPr>
        <w:t xml:space="preserve"> i 2015.</w:t>
      </w:r>
      <w:r w:rsidR="009D07C7">
        <w:rPr>
          <w:rFonts w:ascii="Arial" w:hAnsi="Arial" w:cs="Arial"/>
          <w:sz w:val="20"/>
          <w:szCs w:val="20"/>
        </w:rPr>
        <w:t xml:space="preserve"> godine</w:t>
      </w:r>
      <w:r w:rsidR="00165088">
        <w:rPr>
          <w:rFonts w:ascii="Arial" w:hAnsi="Arial" w:cs="Arial"/>
          <w:sz w:val="20"/>
          <w:szCs w:val="20"/>
        </w:rPr>
        <w:t>,</w:t>
      </w:r>
      <w:r w:rsidR="009D07C7">
        <w:rPr>
          <w:rFonts w:ascii="Arial" w:hAnsi="Arial" w:cs="Arial"/>
          <w:sz w:val="20"/>
          <w:szCs w:val="20"/>
        </w:rPr>
        <w:t xml:space="preserve"> a nenaplaćeni u ovom razdoblju, otpisat će se sukladno zakonskim propisima o zastari prava na naplatu.</w:t>
      </w:r>
    </w:p>
    <w:p w14:paraId="1A104B7E" w14:textId="77777777" w:rsidR="00E43486" w:rsidRDefault="00E43486" w:rsidP="00E43486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u w:val="single"/>
        </w:rPr>
      </w:pPr>
      <w:r w:rsidRPr="00906B08">
        <w:rPr>
          <w:rFonts w:ascii="Arial" w:hAnsi="Arial" w:cs="Arial"/>
          <w:b/>
          <w:i/>
          <w:u w:val="single"/>
        </w:rPr>
        <w:t>Stanje nepodmirenih</w:t>
      </w:r>
      <w:r w:rsidRPr="00776AF3">
        <w:rPr>
          <w:rFonts w:ascii="Arial" w:hAnsi="Arial" w:cs="Arial"/>
          <w:b/>
          <w:i/>
          <w:u w:val="single"/>
        </w:rPr>
        <w:t xml:space="preserve"> dospjelih</w:t>
      </w:r>
      <w:r w:rsidRPr="00544F23">
        <w:rPr>
          <w:rFonts w:ascii="Arial" w:hAnsi="Arial" w:cs="Arial"/>
          <w:b/>
          <w:i/>
          <w:u w:val="single"/>
        </w:rPr>
        <w:t xml:space="preserve"> obveza</w:t>
      </w:r>
    </w:p>
    <w:p w14:paraId="7E2CE687" w14:textId="230E57FB" w:rsidR="00FA6E48" w:rsidRDefault="00E43486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sz w:val="20"/>
          <w:szCs w:val="20"/>
        </w:rPr>
        <w:t>Nepodmirene dospjele ob</w:t>
      </w:r>
      <w:r w:rsidR="00A45188">
        <w:rPr>
          <w:rFonts w:ascii="Arial" w:hAnsi="Arial" w:cs="Arial"/>
          <w:sz w:val="20"/>
          <w:szCs w:val="20"/>
        </w:rPr>
        <w:t>veze Proračuna na dan 31.12.20</w:t>
      </w:r>
      <w:r w:rsidR="005A30F2">
        <w:rPr>
          <w:rFonts w:ascii="Arial" w:hAnsi="Arial" w:cs="Arial"/>
          <w:sz w:val="20"/>
          <w:szCs w:val="20"/>
        </w:rPr>
        <w:t>2</w:t>
      </w:r>
      <w:r w:rsidR="003C6C62">
        <w:rPr>
          <w:rFonts w:ascii="Arial" w:hAnsi="Arial" w:cs="Arial"/>
          <w:sz w:val="20"/>
          <w:szCs w:val="20"/>
        </w:rPr>
        <w:t>1</w:t>
      </w:r>
      <w:r w:rsidRPr="00D04794">
        <w:rPr>
          <w:rFonts w:ascii="Arial" w:hAnsi="Arial" w:cs="Arial"/>
          <w:sz w:val="20"/>
          <w:szCs w:val="20"/>
        </w:rPr>
        <w:t>.</w:t>
      </w:r>
      <w:r w:rsidR="005A30F2">
        <w:rPr>
          <w:rFonts w:ascii="Arial" w:hAnsi="Arial" w:cs="Arial"/>
          <w:sz w:val="20"/>
          <w:szCs w:val="20"/>
        </w:rPr>
        <w:t xml:space="preserve"> </w:t>
      </w:r>
      <w:r w:rsidRPr="00D04794">
        <w:rPr>
          <w:rFonts w:ascii="Arial" w:hAnsi="Arial" w:cs="Arial"/>
          <w:sz w:val="20"/>
          <w:szCs w:val="20"/>
        </w:rPr>
        <w:t xml:space="preserve">godine iznose </w:t>
      </w:r>
      <w:r w:rsidR="003C6C62">
        <w:rPr>
          <w:rFonts w:ascii="Arial" w:hAnsi="Arial" w:cs="Arial"/>
          <w:b/>
          <w:sz w:val="20"/>
          <w:szCs w:val="20"/>
        </w:rPr>
        <w:t>3.591.063</w:t>
      </w:r>
      <w:r w:rsidR="002C13DA" w:rsidRPr="00D04794">
        <w:rPr>
          <w:rFonts w:ascii="Arial" w:hAnsi="Arial" w:cs="Arial"/>
          <w:sz w:val="20"/>
          <w:szCs w:val="20"/>
        </w:rPr>
        <w:t xml:space="preserve"> kn. O</w:t>
      </w:r>
      <w:r w:rsidRPr="00D04794">
        <w:rPr>
          <w:rFonts w:ascii="Arial" w:hAnsi="Arial" w:cs="Arial"/>
          <w:sz w:val="20"/>
          <w:szCs w:val="20"/>
        </w:rPr>
        <w:t xml:space="preserve">bveze </w:t>
      </w:r>
      <w:r w:rsidR="002C13DA" w:rsidRPr="00D04794">
        <w:rPr>
          <w:rFonts w:ascii="Arial" w:hAnsi="Arial" w:cs="Arial"/>
          <w:sz w:val="20"/>
          <w:szCs w:val="20"/>
        </w:rPr>
        <w:t xml:space="preserve">se </w:t>
      </w:r>
      <w:r w:rsidRPr="00D04794">
        <w:rPr>
          <w:rFonts w:ascii="Arial" w:hAnsi="Arial" w:cs="Arial"/>
          <w:sz w:val="20"/>
          <w:szCs w:val="20"/>
        </w:rPr>
        <w:t xml:space="preserve">odnose </w:t>
      </w:r>
      <w:r w:rsidR="005A30F2">
        <w:rPr>
          <w:rFonts w:ascii="Arial" w:hAnsi="Arial" w:cs="Arial"/>
          <w:sz w:val="20"/>
          <w:szCs w:val="20"/>
        </w:rPr>
        <w:t xml:space="preserve">na obveze za </w:t>
      </w:r>
      <w:r w:rsidR="003C6C62">
        <w:rPr>
          <w:rFonts w:ascii="Arial" w:hAnsi="Arial" w:cs="Arial"/>
          <w:sz w:val="20"/>
          <w:szCs w:val="20"/>
        </w:rPr>
        <w:t>rashode poslovanja 1.203.875 kn, za</w:t>
      </w:r>
      <w:r w:rsidR="005A30F2">
        <w:rPr>
          <w:rFonts w:ascii="Arial" w:hAnsi="Arial" w:cs="Arial"/>
          <w:sz w:val="20"/>
          <w:szCs w:val="20"/>
        </w:rPr>
        <w:t xml:space="preserve"> nabavu nefinancijske imovine </w:t>
      </w:r>
      <w:r w:rsidR="003C6C62">
        <w:rPr>
          <w:rFonts w:ascii="Arial" w:hAnsi="Arial" w:cs="Arial"/>
          <w:sz w:val="20"/>
          <w:szCs w:val="20"/>
        </w:rPr>
        <w:t>2.137.188</w:t>
      </w:r>
      <w:r w:rsidR="005A30F2">
        <w:rPr>
          <w:rFonts w:ascii="Arial" w:hAnsi="Arial" w:cs="Arial"/>
          <w:sz w:val="20"/>
          <w:szCs w:val="20"/>
        </w:rPr>
        <w:t xml:space="preserve"> kn</w:t>
      </w:r>
      <w:r w:rsidR="003C6C62">
        <w:rPr>
          <w:rFonts w:ascii="Arial" w:hAnsi="Arial" w:cs="Arial"/>
          <w:sz w:val="20"/>
          <w:szCs w:val="20"/>
        </w:rPr>
        <w:t xml:space="preserve"> i obaveze za zajmove 250.000 kn.</w:t>
      </w:r>
      <w:r w:rsidR="005A30F2">
        <w:rPr>
          <w:rFonts w:ascii="Arial" w:hAnsi="Arial" w:cs="Arial"/>
          <w:sz w:val="20"/>
          <w:szCs w:val="20"/>
        </w:rPr>
        <w:t xml:space="preserve"> Obveze se </w:t>
      </w:r>
      <w:r w:rsidRPr="00D04794">
        <w:rPr>
          <w:rFonts w:ascii="Arial" w:hAnsi="Arial" w:cs="Arial"/>
          <w:sz w:val="20"/>
          <w:szCs w:val="20"/>
        </w:rPr>
        <w:t>pretežito</w:t>
      </w:r>
      <w:r w:rsidR="005A30F2">
        <w:rPr>
          <w:rFonts w:ascii="Arial" w:hAnsi="Arial" w:cs="Arial"/>
          <w:sz w:val="20"/>
          <w:szCs w:val="20"/>
        </w:rPr>
        <w:t xml:space="preserve"> odnose</w:t>
      </w:r>
      <w:r w:rsidRPr="00D04794">
        <w:rPr>
          <w:rFonts w:ascii="Arial" w:hAnsi="Arial" w:cs="Arial"/>
          <w:sz w:val="20"/>
          <w:szCs w:val="20"/>
        </w:rPr>
        <w:t xml:space="preserve"> na račune dobavljača proknjižene krajem 20</w:t>
      </w:r>
      <w:r w:rsidR="005A30F2">
        <w:rPr>
          <w:rFonts w:ascii="Arial" w:hAnsi="Arial" w:cs="Arial"/>
          <w:sz w:val="20"/>
          <w:szCs w:val="20"/>
        </w:rPr>
        <w:t>2</w:t>
      </w:r>
      <w:r w:rsidR="003C6C62">
        <w:rPr>
          <w:rFonts w:ascii="Arial" w:hAnsi="Arial" w:cs="Arial"/>
          <w:sz w:val="20"/>
          <w:szCs w:val="20"/>
        </w:rPr>
        <w:t>1</w:t>
      </w:r>
      <w:r w:rsidRPr="00D04794">
        <w:rPr>
          <w:rFonts w:ascii="Arial" w:hAnsi="Arial" w:cs="Arial"/>
          <w:sz w:val="20"/>
          <w:szCs w:val="20"/>
        </w:rPr>
        <w:t>.</w:t>
      </w:r>
      <w:r w:rsidR="005A30F2">
        <w:rPr>
          <w:rFonts w:ascii="Arial" w:hAnsi="Arial" w:cs="Arial"/>
          <w:sz w:val="20"/>
          <w:szCs w:val="20"/>
        </w:rPr>
        <w:t xml:space="preserve"> </w:t>
      </w:r>
      <w:r w:rsidRPr="00D04794">
        <w:rPr>
          <w:rFonts w:ascii="Arial" w:hAnsi="Arial" w:cs="Arial"/>
          <w:sz w:val="20"/>
          <w:szCs w:val="20"/>
        </w:rPr>
        <w:t>godine</w:t>
      </w:r>
      <w:r w:rsidR="001263A6">
        <w:rPr>
          <w:rFonts w:ascii="Arial" w:hAnsi="Arial" w:cs="Arial"/>
          <w:sz w:val="20"/>
          <w:szCs w:val="20"/>
        </w:rPr>
        <w:t>,</w:t>
      </w:r>
      <w:r w:rsidRPr="00D04794">
        <w:rPr>
          <w:rFonts w:ascii="Arial" w:hAnsi="Arial" w:cs="Arial"/>
          <w:sz w:val="20"/>
          <w:szCs w:val="20"/>
        </w:rPr>
        <w:t xml:space="preserve"> a plaćene početkom slijedeće godine</w:t>
      </w:r>
      <w:r w:rsidR="00983054">
        <w:rPr>
          <w:rFonts w:ascii="Arial" w:hAnsi="Arial" w:cs="Arial"/>
          <w:sz w:val="20"/>
          <w:szCs w:val="20"/>
        </w:rPr>
        <w:t xml:space="preserve"> prema datumu dosijeća.</w:t>
      </w:r>
    </w:p>
    <w:p w14:paraId="68F81170" w14:textId="77777777" w:rsidR="003C6C62" w:rsidRPr="00D04794" w:rsidRDefault="003C6C62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</w:p>
    <w:p w14:paraId="1B94CD5E" w14:textId="77777777" w:rsidR="00E43486" w:rsidRPr="00FA6E48" w:rsidRDefault="00E43486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906B08">
        <w:rPr>
          <w:rFonts w:ascii="Arial" w:hAnsi="Arial" w:cs="Arial"/>
          <w:b/>
          <w:i/>
          <w:u w:val="single"/>
        </w:rPr>
        <w:lastRenderedPageBreak/>
        <w:t>Stanje potencijalnih</w:t>
      </w:r>
      <w:r w:rsidRPr="00776AF3">
        <w:rPr>
          <w:rFonts w:ascii="Arial" w:hAnsi="Arial" w:cs="Arial"/>
          <w:b/>
          <w:i/>
          <w:u w:val="single"/>
        </w:rPr>
        <w:t xml:space="preserve"> obveza po osnovi</w:t>
      </w:r>
      <w:r w:rsidRPr="00544F23">
        <w:rPr>
          <w:rFonts w:ascii="Arial" w:hAnsi="Arial" w:cs="Arial"/>
          <w:b/>
          <w:i/>
          <w:u w:val="single"/>
        </w:rPr>
        <w:t xml:space="preserve"> sudskih postupaka</w:t>
      </w:r>
    </w:p>
    <w:p w14:paraId="36976099" w14:textId="78520941" w:rsidR="002142E5" w:rsidRPr="00D04794" w:rsidRDefault="002142E5" w:rsidP="002142E5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sz w:val="20"/>
          <w:szCs w:val="20"/>
        </w:rPr>
        <w:t xml:space="preserve">Stanje potencijalnih obaveza po osnovi sudskih postupaka iznosi </w:t>
      </w:r>
      <w:r w:rsidR="00F07A58">
        <w:rPr>
          <w:rFonts w:ascii="Arial" w:hAnsi="Arial" w:cs="Arial"/>
          <w:b/>
          <w:sz w:val="20"/>
          <w:szCs w:val="20"/>
        </w:rPr>
        <w:t>7.</w:t>
      </w:r>
      <w:r w:rsidR="006D2C6F">
        <w:rPr>
          <w:rFonts w:ascii="Arial" w:hAnsi="Arial" w:cs="Arial"/>
          <w:b/>
          <w:sz w:val="20"/>
          <w:szCs w:val="20"/>
        </w:rPr>
        <w:t>566.811</w:t>
      </w:r>
      <w:r w:rsidR="00F07A58">
        <w:rPr>
          <w:rFonts w:ascii="Arial" w:hAnsi="Arial" w:cs="Arial"/>
          <w:b/>
          <w:sz w:val="20"/>
          <w:szCs w:val="20"/>
        </w:rPr>
        <w:t xml:space="preserve"> </w:t>
      </w:r>
      <w:r w:rsidR="00F07A58">
        <w:rPr>
          <w:rFonts w:ascii="Arial" w:hAnsi="Arial" w:cs="Arial"/>
          <w:sz w:val="20"/>
          <w:szCs w:val="20"/>
        </w:rPr>
        <w:t>kn</w:t>
      </w:r>
      <w:r w:rsidRPr="00D04794">
        <w:rPr>
          <w:rFonts w:ascii="Arial" w:hAnsi="Arial" w:cs="Arial"/>
          <w:sz w:val="20"/>
          <w:szCs w:val="20"/>
        </w:rPr>
        <w:t xml:space="preserve"> (bez kamata i troškova postupka) i odnosi se </w:t>
      </w:r>
      <w:r w:rsidR="007824F1" w:rsidRPr="00D04794">
        <w:rPr>
          <w:rFonts w:ascii="Arial" w:hAnsi="Arial" w:cs="Arial"/>
          <w:sz w:val="20"/>
          <w:szCs w:val="20"/>
        </w:rPr>
        <w:t xml:space="preserve">pretežito (7.364.545 kn) </w:t>
      </w:r>
      <w:r w:rsidRPr="00D04794">
        <w:rPr>
          <w:rFonts w:ascii="Arial" w:hAnsi="Arial" w:cs="Arial"/>
          <w:sz w:val="20"/>
          <w:szCs w:val="20"/>
        </w:rPr>
        <w:t>na naknadu za oduzete nekretnine označene kao čest.zem. 655/17, 655/147 i 6</w:t>
      </w:r>
      <w:r w:rsidR="007824F1" w:rsidRPr="00D04794">
        <w:rPr>
          <w:rFonts w:ascii="Arial" w:hAnsi="Arial" w:cs="Arial"/>
          <w:sz w:val="20"/>
          <w:szCs w:val="20"/>
        </w:rPr>
        <w:t>55/148 k.o.Korčula (kamp Kalac)</w:t>
      </w:r>
      <w:r w:rsidR="001263A6">
        <w:rPr>
          <w:rFonts w:ascii="Arial" w:hAnsi="Arial" w:cs="Arial"/>
          <w:sz w:val="20"/>
          <w:szCs w:val="20"/>
        </w:rPr>
        <w:t>,</w:t>
      </w:r>
      <w:r w:rsidR="007824F1" w:rsidRPr="00D04794">
        <w:rPr>
          <w:rFonts w:ascii="Arial" w:hAnsi="Arial" w:cs="Arial"/>
          <w:sz w:val="20"/>
          <w:szCs w:val="20"/>
        </w:rPr>
        <w:t xml:space="preserve"> kao i na utvrđivanje prava vlasniš</w:t>
      </w:r>
      <w:r w:rsidR="00F07A58">
        <w:rPr>
          <w:rFonts w:ascii="Arial" w:hAnsi="Arial" w:cs="Arial"/>
          <w:sz w:val="20"/>
          <w:szCs w:val="20"/>
        </w:rPr>
        <w:t>tva određenih tužitelja fizičkih osoba (</w:t>
      </w:r>
      <w:r w:rsidR="006D2C6F">
        <w:rPr>
          <w:rFonts w:ascii="Arial" w:hAnsi="Arial" w:cs="Arial"/>
          <w:sz w:val="20"/>
          <w:szCs w:val="20"/>
        </w:rPr>
        <w:t>2</w:t>
      </w:r>
      <w:r w:rsidR="00F77A51">
        <w:rPr>
          <w:rFonts w:ascii="Arial" w:hAnsi="Arial" w:cs="Arial"/>
          <w:sz w:val="20"/>
          <w:szCs w:val="20"/>
        </w:rPr>
        <w:t>02</w:t>
      </w:r>
      <w:r w:rsidR="006D2C6F">
        <w:rPr>
          <w:rFonts w:ascii="Arial" w:hAnsi="Arial" w:cs="Arial"/>
          <w:sz w:val="20"/>
          <w:szCs w:val="20"/>
        </w:rPr>
        <w:t>.266</w:t>
      </w:r>
      <w:r w:rsidR="007824F1" w:rsidRPr="00D04794">
        <w:rPr>
          <w:rFonts w:ascii="Arial" w:hAnsi="Arial" w:cs="Arial"/>
          <w:sz w:val="20"/>
          <w:szCs w:val="20"/>
        </w:rPr>
        <w:t xml:space="preserve"> kn).</w:t>
      </w:r>
    </w:p>
    <w:p w14:paraId="58D95A9A" w14:textId="77777777" w:rsidR="00776AF3" w:rsidRDefault="00776AF3" w:rsidP="004A7DDC">
      <w:pPr>
        <w:pStyle w:val="Default"/>
        <w:rPr>
          <w:b/>
          <w:bCs/>
          <w:i/>
          <w:iCs/>
          <w:sz w:val="22"/>
          <w:szCs w:val="22"/>
          <w:u w:val="single"/>
        </w:rPr>
      </w:pPr>
    </w:p>
    <w:p w14:paraId="022D70C5" w14:textId="0C594C86" w:rsidR="004A7DDC" w:rsidRPr="004A7DDC" w:rsidRDefault="004A7DDC" w:rsidP="004A7DDC">
      <w:pPr>
        <w:pStyle w:val="Default"/>
        <w:rPr>
          <w:b/>
          <w:i/>
          <w:sz w:val="22"/>
          <w:szCs w:val="22"/>
          <w:u w:val="single"/>
        </w:rPr>
      </w:pPr>
      <w:r w:rsidRPr="00776AF3">
        <w:rPr>
          <w:b/>
          <w:bCs/>
          <w:i/>
          <w:iCs/>
          <w:sz w:val="22"/>
          <w:szCs w:val="22"/>
          <w:u w:val="single"/>
        </w:rPr>
        <w:t>Izvještaj o provedbi plana razvojnih</w:t>
      </w:r>
      <w:r w:rsidRPr="00544F23">
        <w:rPr>
          <w:b/>
          <w:bCs/>
          <w:i/>
          <w:iCs/>
          <w:sz w:val="22"/>
          <w:szCs w:val="22"/>
          <w:u w:val="single"/>
        </w:rPr>
        <w:t xml:space="preserve"> programa</w:t>
      </w:r>
      <w:r w:rsidRPr="004A7DDC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244BD9D5" w14:textId="77777777" w:rsidR="008D30DC" w:rsidRDefault="008D30DC" w:rsidP="004A7DDC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CF096ED" w14:textId="38D18420" w:rsidR="00EF45CC" w:rsidRPr="00906B08" w:rsidRDefault="004A7DDC" w:rsidP="009A01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sz w:val="20"/>
          <w:szCs w:val="20"/>
        </w:rPr>
        <w:t xml:space="preserve">U ovom izvještajnom razdoblju, ukupno </w:t>
      </w:r>
      <w:r w:rsidRPr="001C07A9">
        <w:rPr>
          <w:rFonts w:ascii="Arial" w:hAnsi="Arial" w:cs="Arial"/>
          <w:sz w:val="20"/>
          <w:szCs w:val="20"/>
        </w:rPr>
        <w:t xml:space="preserve">je utrošeno </w:t>
      </w:r>
      <w:r w:rsidR="001263A6" w:rsidRPr="001C07A9">
        <w:rPr>
          <w:rFonts w:ascii="Arial" w:hAnsi="Arial" w:cs="Arial"/>
          <w:b/>
          <w:bCs/>
          <w:sz w:val="20"/>
          <w:szCs w:val="20"/>
        </w:rPr>
        <w:t>14.400.757</w:t>
      </w:r>
      <w:r w:rsidR="00234596" w:rsidRPr="001C07A9">
        <w:rPr>
          <w:rFonts w:ascii="Arial" w:hAnsi="Arial" w:cs="Arial"/>
          <w:sz w:val="20"/>
          <w:szCs w:val="20"/>
        </w:rPr>
        <w:t xml:space="preserve"> kn</w:t>
      </w:r>
      <w:r w:rsidR="00234596" w:rsidRPr="001C07A9">
        <w:rPr>
          <w:rFonts w:ascii="Arial" w:hAnsi="Arial" w:cs="Arial"/>
          <w:b/>
          <w:sz w:val="20"/>
          <w:szCs w:val="20"/>
        </w:rPr>
        <w:t xml:space="preserve"> </w:t>
      </w:r>
      <w:r w:rsidR="002517A6" w:rsidRPr="001C07A9">
        <w:rPr>
          <w:rFonts w:ascii="Arial" w:hAnsi="Arial" w:cs="Arial"/>
          <w:sz w:val="20"/>
          <w:szCs w:val="20"/>
        </w:rPr>
        <w:t>na provedbu razvojnih programa</w:t>
      </w:r>
      <w:r w:rsidR="001C07A9">
        <w:rPr>
          <w:rFonts w:ascii="Arial" w:hAnsi="Arial" w:cs="Arial"/>
          <w:sz w:val="20"/>
          <w:szCs w:val="20"/>
        </w:rPr>
        <w:t>,</w:t>
      </w:r>
      <w:r w:rsidR="002517A6" w:rsidRPr="001C07A9">
        <w:rPr>
          <w:rFonts w:ascii="Arial" w:hAnsi="Arial" w:cs="Arial"/>
          <w:sz w:val="20"/>
          <w:szCs w:val="20"/>
        </w:rPr>
        <w:t xml:space="preserve"> i </w:t>
      </w:r>
      <w:r w:rsidR="001263A6" w:rsidRPr="001C07A9">
        <w:rPr>
          <w:rFonts w:ascii="Arial" w:hAnsi="Arial" w:cs="Arial"/>
          <w:sz w:val="20"/>
          <w:szCs w:val="20"/>
        </w:rPr>
        <w:t>više je za</w:t>
      </w:r>
      <w:r w:rsidR="002517A6" w:rsidRPr="001C07A9">
        <w:rPr>
          <w:rFonts w:ascii="Arial" w:hAnsi="Arial" w:cs="Arial"/>
          <w:sz w:val="20"/>
          <w:szCs w:val="20"/>
        </w:rPr>
        <w:t xml:space="preserve"> </w:t>
      </w:r>
      <w:r w:rsidR="00234596" w:rsidRPr="001C07A9">
        <w:rPr>
          <w:rFonts w:ascii="Arial" w:hAnsi="Arial" w:cs="Arial"/>
          <w:sz w:val="20"/>
          <w:szCs w:val="20"/>
        </w:rPr>
        <w:t>5.</w:t>
      </w:r>
      <w:r w:rsidR="001263A6" w:rsidRPr="001C07A9">
        <w:rPr>
          <w:rFonts w:ascii="Arial" w:hAnsi="Arial" w:cs="Arial"/>
          <w:sz w:val="20"/>
          <w:szCs w:val="20"/>
        </w:rPr>
        <w:t>554.323</w:t>
      </w:r>
      <w:r w:rsidR="002517A6" w:rsidRPr="001C07A9">
        <w:rPr>
          <w:rFonts w:ascii="Arial" w:hAnsi="Arial" w:cs="Arial"/>
          <w:sz w:val="20"/>
          <w:szCs w:val="20"/>
        </w:rPr>
        <w:t xml:space="preserve"> kn (</w:t>
      </w:r>
      <w:r w:rsidR="001C07A9" w:rsidRPr="001C07A9">
        <w:rPr>
          <w:rFonts w:ascii="Arial" w:hAnsi="Arial" w:cs="Arial"/>
          <w:sz w:val="20"/>
          <w:szCs w:val="20"/>
        </w:rPr>
        <w:t>63</w:t>
      </w:r>
      <w:r w:rsidR="002517A6" w:rsidRPr="001C07A9">
        <w:rPr>
          <w:rFonts w:ascii="Arial" w:hAnsi="Arial" w:cs="Arial"/>
          <w:sz w:val="20"/>
          <w:szCs w:val="20"/>
        </w:rPr>
        <w:t>%) nego prošle</w:t>
      </w:r>
      <w:r w:rsidR="002517A6">
        <w:rPr>
          <w:rFonts w:ascii="Arial" w:hAnsi="Arial" w:cs="Arial"/>
          <w:sz w:val="20"/>
          <w:szCs w:val="20"/>
        </w:rPr>
        <w:t xml:space="preserve"> godine</w:t>
      </w:r>
      <w:r w:rsidR="001C07A9">
        <w:rPr>
          <w:rFonts w:ascii="Arial" w:hAnsi="Arial" w:cs="Arial"/>
          <w:sz w:val="20"/>
          <w:szCs w:val="20"/>
        </w:rPr>
        <w:t>,</w:t>
      </w:r>
      <w:r w:rsidR="002517A6">
        <w:rPr>
          <w:rFonts w:ascii="Arial" w:hAnsi="Arial" w:cs="Arial"/>
          <w:sz w:val="20"/>
          <w:szCs w:val="20"/>
        </w:rPr>
        <w:t xml:space="preserve"> a </w:t>
      </w:r>
      <w:r w:rsidR="002517A6" w:rsidRPr="00906B08">
        <w:rPr>
          <w:rFonts w:ascii="Arial" w:hAnsi="Arial" w:cs="Arial"/>
          <w:sz w:val="20"/>
          <w:szCs w:val="20"/>
        </w:rPr>
        <w:t>odnosi se na</w:t>
      </w:r>
      <w:r w:rsidRPr="00906B08">
        <w:rPr>
          <w:rFonts w:ascii="Arial" w:hAnsi="Arial" w:cs="Arial"/>
          <w:sz w:val="20"/>
          <w:szCs w:val="20"/>
        </w:rPr>
        <w:t xml:space="preserve">: </w:t>
      </w:r>
    </w:p>
    <w:p w14:paraId="04DAC4B6" w14:textId="2AD0B6C9" w:rsidR="009A010C" w:rsidRPr="00906B08" w:rsidRDefault="00EF45CC" w:rsidP="00EF45C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Izradu projektne dokumentacije i troškove nadzora za projekte Grada </w:t>
      </w:r>
      <w:r w:rsidR="0094604E" w:rsidRPr="00906B08">
        <w:rPr>
          <w:rFonts w:ascii="Arial" w:hAnsi="Arial" w:cs="Arial"/>
          <w:sz w:val="20"/>
          <w:szCs w:val="20"/>
        </w:rPr>
        <w:t>205.188</w:t>
      </w:r>
      <w:r w:rsidRPr="00906B08">
        <w:rPr>
          <w:rFonts w:ascii="Arial" w:hAnsi="Arial" w:cs="Arial"/>
          <w:sz w:val="20"/>
          <w:szCs w:val="20"/>
        </w:rPr>
        <w:t xml:space="preserve"> kn </w:t>
      </w:r>
      <w:r w:rsidR="0094604E" w:rsidRPr="00906B08">
        <w:rPr>
          <w:rFonts w:ascii="Arial" w:hAnsi="Arial" w:cs="Arial"/>
          <w:sz w:val="20"/>
          <w:szCs w:val="20"/>
        </w:rPr>
        <w:t>63</w:t>
      </w:r>
      <w:r w:rsidRPr="00906B08">
        <w:rPr>
          <w:rFonts w:ascii="Arial" w:hAnsi="Arial" w:cs="Arial"/>
          <w:sz w:val="20"/>
          <w:szCs w:val="20"/>
        </w:rPr>
        <w:t xml:space="preserve">% </w:t>
      </w:r>
      <w:r w:rsidR="000D5FD0" w:rsidRPr="00906B08">
        <w:rPr>
          <w:rFonts w:ascii="Arial" w:hAnsi="Arial" w:cs="Arial"/>
          <w:sz w:val="20"/>
          <w:szCs w:val="20"/>
        </w:rPr>
        <w:t xml:space="preserve">od </w:t>
      </w:r>
      <w:r w:rsidRPr="00906B08">
        <w:rPr>
          <w:rFonts w:ascii="Arial" w:hAnsi="Arial" w:cs="Arial"/>
          <w:sz w:val="20"/>
          <w:szCs w:val="20"/>
        </w:rPr>
        <w:t>planiranog),</w:t>
      </w:r>
      <w:r w:rsidR="00E969D1" w:rsidRPr="00906B08">
        <w:rPr>
          <w:rFonts w:ascii="Arial" w:hAnsi="Arial" w:cs="Arial"/>
          <w:sz w:val="20"/>
          <w:szCs w:val="20"/>
        </w:rPr>
        <w:t xml:space="preserve"> </w:t>
      </w:r>
    </w:p>
    <w:p w14:paraId="78D73234" w14:textId="5B7F2197" w:rsidR="008819E3" w:rsidRPr="00906B08" w:rsidRDefault="001D0EC9" w:rsidP="009A010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R</w:t>
      </w:r>
      <w:r w:rsidR="004A7DDC" w:rsidRPr="00906B08">
        <w:rPr>
          <w:rFonts w:ascii="Arial" w:hAnsi="Arial" w:cs="Arial"/>
          <w:sz w:val="20"/>
          <w:szCs w:val="20"/>
        </w:rPr>
        <w:t xml:space="preserve">ekonstrukciju i opremanje palače Ismaeli-Gabrielis </w:t>
      </w:r>
      <w:r w:rsidR="0094604E" w:rsidRPr="00906B08">
        <w:rPr>
          <w:rFonts w:ascii="Arial" w:hAnsi="Arial" w:cs="Arial"/>
          <w:sz w:val="20"/>
          <w:szCs w:val="20"/>
        </w:rPr>
        <w:t>5.714.253</w:t>
      </w:r>
      <w:r w:rsidR="00E969D1" w:rsidRPr="00906B08">
        <w:rPr>
          <w:rFonts w:ascii="Arial" w:hAnsi="Arial" w:cs="Arial"/>
          <w:sz w:val="20"/>
          <w:szCs w:val="20"/>
        </w:rPr>
        <w:t xml:space="preserve"> kn</w:t>
      </w:r>
      <w:r w:rsidR="00EF45CC" w:rsidRPr="00906B08">
        <w:rPr>
          <w:rFonts w:ascii="Arial" w:hAnsi="Arial" w:cs="Arial"/>
          <w:sz w:val="20"/>
          <w:szCs w:val="20"/>
        </w:rPr>
        <w:t xml:space="preserve"> (</w:t>
      </w:r>
      <w:r w:rsidR="0094604E" w:rsidRPr="00906B08">
        <w:rPr>
          <w:rFonts w:ascii="Arial" w:hAnsi="Arial" w:cs="Arial"/>
          <w:sz w:val="20"/>
          <w:szCs w:val="20"/>
        </w:rPr>
        <w:t>100</w:t>
      </w:r>
      <w:r w:rsidR="00EF45CC" w:rsidRPr="00906B08">
        <w:rPr>
          <w:rFonts w:ascii="Arial" w:hAnsi="Arial" w:cs="Arial"/>
          <w:sz w:val="20"/>
          <w:szCs w:val="20"/>
        </w:rPr>
        <w:t>% planiranog)</w:t>
      </w:r>
      <w:r w:rsidR="0094604E" w:rsidRPr="00906B08">
        <w:rPr>
          <w:rFonts w:ascii="Arial" w:hAnsi="Arial" w:cs="Arial"/>
          <w:sz w:val="20"/>
          <w:szCs w:val="20"/>
        </w:rPr>
        <w:t>,</w:t>
      </w:r>
    </w:p>
    <w:p w14:paraId="72ADE86D" w14:textId="31733229" w:rsidR="008819E3" w:rsidRPr="00906B08" w:rsidRDefault="008819E3" w:rsidP="009A010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Obnova kuće Marka Pola </w:t>
      </w:r>
      <w:r w:rsidR="0094604E" w:rsidRPr="00906B08">
        <w:rPr>
          <w:rFonts w:ascii="Arial" w:hAnsi="Arial" w:cs="Arial"/>
          <w:sz w:val="20"/>
          <w:szCs w:val="20"/>
        </w:rPr>
        <w:t>2.691.381</w:t>
      </w:r>
      <w:r w:rsidRPr="00906B08">
        <w:rPr>
          <w:rFonts w:ascii="Arial" w:hAnsi="Arial" w:cs="Arial"/>
          <w:sz w:val="20"/>
          <w:szCs w:val="20"/>
        </w:rPr>
        <w:t xml:space="preserve"> kn (</w:t>
      </w:r>
      <w:r w:rsidR="0094604E" w:rsidRPr="00906B08">
        <w:rPr>
          <w:rFonts w:ascii="Arial" w:hAnsi="Arial" w:cs="Arial"/>
          <w:sz w:val="20"/>
          <w:szCs w:val="20"/>
        </w:rPr>
        <w:t>3</w:t>
      </w:r>
      <w:r w:rsidRPr="00906B08">
        <w:rPr>
          <w:rFonts w:ascii="Arial" w:hAnsi="Arial" w:cs="Arial"/>
          <w:sz w:val="20"/>
          <w:szCs w:val="20"/>
        </w:rPr>
        <w:t xml:space="preserve">% </w:t>
      </w:r>
      <w:r w:rsidR="0094604E" w:rsidRPr="00906B08">
        <w:rPr>
          <w:rFonts w:ascii="Arial" w:hAnsi="Arial" w:cs="Arial"/>
          <w:sz w:val="20"/>
          <w:szCs w:val="20"/>
        </w:rPr>
        <w:t xml:space="preserve">više od </w:t>
      </w:r>
      <w:r w:rsidRPr="00906B08">
        <w:rPr>
          <w:rFonts w:ascii="Arial" w:hAnsi="Arial" w:cs="Arial"/>
          <w:sz w:val="20"/>
          <w:szCs w:val="20"/>
        </w:rPr>
        <w:t>planiranog),</w:t>
      </w:r>
    </w:p>
    <w:p w14:paraId="14BAA166" w14:textId="13EA4A6E" w:rsidR="009A010C" w:rsidRPr="00906B08" w:rsidRDefault="008819E3" w:rsidP="009A010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Revitalizaciju obrambenih utvrda Grada Korčule </w:t>
      </w:r>
      <w:r w:rsidR="0094604E" w:rsidRPr="00906B08">
        <w:rPr>
          <w:rFonts w:ascii="Arial" w:hAnsi="Arial" w:cs="Arial"/>
          <w:sz w:val="20"/>
          <w:szCs w:val="20"/>
        </w:rPr>
        <w:t>169.775</w:t>
      </w:r>
      <w:r w:rsidRPr="00906B08">
        <w:rPr>
          <w:rFonts w:ascii="Arial" w:hAnsi="Arial" w:cs="Arial"/>
          <w:sz w:val="20"/>
          <w:szCs w:val="20"/>
        </w:rPr>
        <w:t xml:space="preserve"> kn (</w:t>
      </w:r>
      <w:r w:rsidR="0094604E" w:rsidRPr="00906B08">
        <w:rPr>
          <w:rFonts w:ascii="Arial" w:hAnsi="Arial" w:cs="Arial"/>
          <w:sz w:val="20"/>
          <w:szCs w:val="20"/>
        </w:rPr>
        <w:t>54</w:t>
      </w:r>
      <w:r w:rsidRPr="00906B08">
        <w:rPr>
          <w:rFonts w:ascii="Arial" w:hAnsi="Arial" w:cs="Arial"/>
          <w:sz w:val="20"/>
          <w:szCs w:val="20"/>
        </w:rPr>
        <w:t>% od plana),</w:t>
      </w:r>
    </w:p>
    <w:p w14:paraId="56CE8D03" w14:textId="7FA38F92" w:rsidR="008819E3" w:rsidRPr="00906B08" w:rsidRDefault="008819E3" w:rsidP="009A010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Uređenje nerazvrstanih cesta i ulica </w:t>
      </w:r>
      <w:r w:rsidR="00BF4CA0" w:rsidRPr="00906B08">
        <w:rPr>
          <w:rFonts w:ascii="Arial" w:hAnsi="Arial" w:cs="Arial"/>
          <w:sz w:val="20"/>
          <w:szCs w:val="20"/>
        </w:rPr>
        <w:t xml:space="preserve">153.269 </w:t>
      </w:r>
      <w:r w:rsidRPr="00906B08">
        <w:rPr>
          <w:rFonts w:ascii="Arial" w:hAnsi="Arial" w:cs="Arial"/>
          <w:sz w:val="20"/>
          <w:szCs w:val="20"/>
        </w:rPr>
        <w:t>kn (</w:t>
      </w:r>
      <w:r w:rsidR="00BF4CA0" w:rsidRPr="00906B08">
        <w:rPr>
          <w:rFonts w:ascii="Arial" w:hAnsi="Arial" w:cs="Arial"/>
          <w:sz w:val="20"/>
          <w:szCs w:val="20"/>
        </w:rPr>
        <w:t>17</w:t>
      </w:r>
      <w:r w:rsidRPr="00906B08">
        <w:rPr>
          <w:rFonts w:ascii="Arial" w:hAnsi="Arial" w:cs="Arial"/>
          <w:sz w:val="20"/>
          <w:szCs w:val="20"/>
        </w:rPr>
        <w:t>%</w:t>
      </w:r>
      <w:r w:rsidR="00211A4A" w:rsidRPr="00906B08">
        <w:rPr>
          <w:rFonts w:ascii="Arial" w:hAnsi="Arial" w:cs="Arial"/>
          <w:sz w:val="20"/>
          <w:szCs w:val="20"/>
        </w:rPr>
        <w:t xml:space="preserve"> planiranih</w:t>
      </w:r>
      <w:r w:rsidRPr="00906B08">
        <w:rPr>
          <w:rFonts w:ascii="Arial" w:hAnsi="Arial" w:cs="Arial"/>
          <w:sz w:val="20"/>
          <w:szCs w:val="20"/>
        </w:rPr>
        <w:t xml:space="preserve">). </w:t>
      </w:r>
      <w:r w:rsidR="00BF4CA0" w:rsidRPr="00906B08">
        <w:rPr>
          <w:rFonts w:ascii="Arial" w:hAnsi="Arial" w:cs="Arial"/>
          <w:sz w:val="20"/>
          <w:szCs w:val="20"/>
        </w:rPr>
        <w:t>Planirani rashod Dubrovnik ceste 580.210 kn, za radove u 2021. proknjižen u 2022.,</w:t>
      </w:r>
    </w:p>
    <w:p w14:paraId="4D048674" w14:textId="32ED0E8E" w:rsidR="008819E3" w:rsidRPr="00906B08" w:rsidRDefault="008819E3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Uređenje Šetališta Tina Ujevića 2.</w:t>
      </w:r>
      <w:r w:rsidR="00BF4CA0" w:rsidRPr="00906B08">
        <w:rPr>
          <w:rFonts w:ascii="Arial" w:hAnsi="Arial" w:cs="Arial"/>
          <w:sz w:val="20"/>
          <w:szCs w:val="20"/>
        </w:rPr>
        <w:t>437.950</w:t>
      </w:r>
      <w:r w:rsidRPr="00906B08">
        <w:rPr>
          <w:rFonts w:ascii="Arial" w:hAnsi="Arial" w:cs="Arial"/>
          <w:sz w:val="20"/>
          <w:szCs w:val="20"/>
        </w:rPr>
        <w:t xml:space="preserve"> kn (</w:t>
      </w:r>
      <w:r w:rsidR="00BF4CA0" w:rsidRPr="00906B08">
        <w:rPr>
          <w:rFonts w:ascii="Arial" w:hAnsi="Arial" w:cs="Arial"/>
          <w:sz w:val="20"/>
          <w:szCs w:val="20"/>
        </w:rPr>
        <w:t>100</w:t>
      </w:r>
      <w:r w:rsidRPr="00906B08">
        <w:rPr>
          <w:rFonts w:ascii="Arial" w:hAnsi="Arial" w:cs="Arial"/>
          <w:sz w:val="20"/>
          <w:szCs w:val="20"/>
        </w:rPr>
        <w:t xml:space="preserve">% </w:t>
      </w:r>
      <w:r w:rsidR="00BF4CA0" w:rsidRPr="00906B08">
        <w:rPr>
          <w:rFonts w:ascii="Arial" w:hAnsi="Arial" w:cs="Arial"/>
          <w:sz w:val="20"/>
          <w:szCs w:val="20"/>
        </w:rPr>
        <w:t xml:space="preserve">od </w:t>
      </w:r>
      <w:r w:rsidRPr="00906B08">
        <w:rPr>
          <w:rFonts w:ascii="Arial" w:hAnsi="Arial" w:cs="Arial"/>
          <w:sz w:val="20"/>
          <w:szCs w:val="20"/>
        </w:rPr>
        <w:t>planiranog)</w:t>
      </w:r>
      <w:r w:rsidR="00BF4CA0" w:rsidRPr="00906B08">
        <w:rPr>
          <w:rFonts w:ascii="Arial" w:hAnsi="Arial" w:cs="Arial"/>
          <w:sz w:val="20"/>
          <w:szCs w:val="20"/>
        </w:rPr>
        <w:t>,</w:t>
      </w:r>
      <w:r w:rsidRPr="00906B08">
        <w:rPr>
          <w:rFonts w:ascii="Arial" w:hAnsi="Arial" w:cs="Arial"/>
          <w:sz w:val="20"/>
          <w:szCs w:val="20"/>
        </w:rPr>
        <w:t xml:space="preserve"> </w:t>
      </w:r>
    </w:p>
    <w:p w14:paraId="52856056" w14:textId="7E39F0FB" w:rsidR="00211A4A" w:rsidRPr="00906B08" w:rsidRDefault="00332515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Sufinanciranje kapitalnih projekata od interesa za Grad 572.116</w:t>
      </w:r>
      <w:r w:rsidR="00D84601" w:rsidRPr="00906B08">
        <w:rPr>
          <w:rFonts w:ascii="Arial" w:hAnsi="Arial" w:cs="Arial"/>
          <w:sz w:val="20"/>
          <w:szCs w:val="20"/>
        </w:rPr>
        <w:t xml:space="preserve"> kn (</w:t>
      </w:r>
      <w:r w:rsidRPr="00906B08">
        <w:rPr>
          <w:rFonts w:ascii="Arial" w:hAnsi="Arial" w:cs="Arial"/>
          <w:sz w:val="20"/>
          <w:szCs w:val="20"/>
        </w:rPr>
        <w:t>57</w:t>
      </w:r>
      <w:r w:rsidR="00D84601" w:rsidRPr="00906B08">
        <w:rPr>
          <w:rFonts w:ascii="Arial" w:hAnsi="Arial" w:cs="Arial"/>
          <w:sz w:val="20"/>
          <w:szCs w:val="20"/>
        </w:rPr>
        <w:t>% planiranog),</w:t>
      </w:r>
    </w:p>
    <w:p w14:paraId="5CE3A563" w14:textId="2CBF2490" w:rsidR="00B422A4" w:rsidRPr="00906B08" w:rsidRDefault="00B422A4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 xml:space="preserve">Rekonstrukcija zgrade ex.restorana Liburna-Nova Knjižnica </w:t>
      </w:r>
      <w:r w:rsidR="00332515" w:rsidRPr="00906B08">
        <w:rPr>
          <w:rFonts w:ascii="Arial" w:hAnsi="Arial" w:cs="Arial"/>
          <w:sz w:val="20"/>
          <w:szCs w:val="20"/>
        </w:rPr>
        <w:t>219.827</w:t>
      </w:r>
      <w:r w:rsidRPr="00906B08">
        <w:rPr>
          <w:rFonts w:ascii="Arial" w:hAnsi="Arial" w:cs="Arial"/>
          <w:sz w:val="20"/>
          <w:szCs w:val="20"/>
        </w:rPr>
        <w:t xml:space="preserve"> kn (100% planiranog),</w:t>
      </w:r>
    </w:p>
    <w:p w14:paraId="3BEA6109" w14:textId="52260800" w:rsidR="00332515" w:rsidRPr="00906B08" w:rsidRDefault="00332515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Aglomeracij</w:t>
      </w:r>
      <w:r w:rsidR="001C07A9">
        <w:rPr>
          <w:rFonts w:ascii="Arial" w:hAnsi="Arial" w:cs="Arial"/>
          <w:sz w:val="20"/>
          <w:szCs w:val="20"/>
        </w:rPr>
        <w:t>u</w:t>
      </w:r>
      <w:r w:rsidRPr="00906B08">
        <w:rPr>
          <w:rFonts w:ascii="Arial" w:hAnsi="Arial" w:cs="Arial"/>
          <w:sz w:val="20"/>
          <w:szCs w:val="20"/>
        </w:rPr>
        <w:t xml:space="preserve"> Grada Korčule 206.497 kn, izmjenama i dopunama Proračuna, rashodi nisu planirani,</w:t>
      </w:r>
    </w:p>
    <w:p w14:paraId="075DE142" w14:textId="12C88ECE" w:rsidR="00E51C28" w:rsidRPr="00906B08" w:rsidRDefault="00E51C28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Gospodarenje otpadom 776.283 kn (95% planiranog),</w:t>
      </w:r>
    </w:p>
    <w:p w14:paraId="331B343A" w14:textId="66615DC7" w:rsidR="00E51C28" w:rsidRPr="00906B08" w:rsidRDefault="00E51C28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Modernizacij</w:t>
      </w:r>
      <w:r w:rsidR="001C07A9">
        <w:rPr>
          <w:rFonts w:ascii="Arial" w:hAnsi="Arial" w:cs="Arial"/>
          <w:sz w:val="20"/>
          <w:szCs w:val="20"/>
        </w:rPr>
        <w:t>u</w:t>
      </w:r>
      <w:r w:rsidRPr="00906B08">
        <w:rPr>
          <w:rFonts w:ascii="Arial" w:hAnsi="Arial" w:cs="Arial"/>
          <w:sz w:val="20"/>
          <w:szCs w:val="20"/>
        </w:rPr>
        <w:t xml:space="preserve"> javne rasvjete 5.938 kn (100% od plana),</w:t>
      </w:r>
    </w:p>
    <w:p w14:paraId="41A6EC3A" w14:textId="7B964D13" w:rsidR="008819E3" w:rsidRPr="00906B08" w:rsidRDefault="008819E3" w:rsidP="008819E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Izrad</w:t>
      </w:r>
      <w:r w:rsidR="001C07A9">
        <w:rPr>
          <w:rFonts w:ascii="Arial" w:hAnsi="Arial" w:cs="Arial"/>
          <w:sz w:val="20"/>
          <w:szCs w:val="20"/>
        </w:rPr>
        <w:t>u</w:t>
      </w:r>
      <w:r w:rsidRPr="00906B08">
        <w:rPr>
          <w:rFonts w:ascii="Arial" w:hAnsi="Arial" w:cs="Arial"/>
          <w:sz w:val="20"/>
          <w:szCs w:val="20"/>
        </w:rPr>
        <w:t xml:space="preserve"> planske dokumentacije </w:t>
      </w:r>
      <w:r w:rsidR="00E51C28" w:rsidRPr="00906B08">
        <w:rPr>
          <w:rFonts w:ascii="Arial" w:hAnsi="Arial" w:cs="Arial"/>
          <w:sz w:val="20"/>
          <w:szCs w:val="20"/>
        </w:rPr>
        <w:t>87.750</w:t>
      </w:r>
      <w:r w:rsidRPr="00906B08">
        <w:rPr>
          <w:rFonts w:ascii="Arial" w:hAnsi="Arial" w:cs="Arial"/>
          <w:sz w:val="20"/>
          <w:szCs w:val="20"/>
        </w:rPr>
        <w:t xml:space="preserve"> kn (</w:t>
      </w:r>
      <w:r w:rsidR="00E51C28" w:rsidRPr="00906B08">
        <w:rPr>
          <w:rFonts w:ascii="Arial" w:hAnsi="Arial" w:cs="Arial"/>
          <w:sz w:val="20"/>
          <w:szCs w:val="20"/>
        </w:rPr>
        <w:t>88</w:t>
      </w:r>
      <w:r w:rsidRPr="00906B08">
        <w:rPr>
          <w:rFonts w:ascii="Arial" w:hAnsi="Arial" w:cs="Arial"/>
          <w:sz w:val="20"/>
          <w:szCs w:val="20"/>
        </w:rPr>
        <w:t>% planiranog).</w:t>
      </w:r>
    </w:p>
    <w:p w14:paraId="3BC14FFA" w14:textId="192E1C4E" w:rsidR="009A010C" w:rsidRPr="00906B08" w:rsidRDefault="008819E3" w:rsidP="009A010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6B08">
        <w:rPr>
          <w:rFonts w:ascii="Arial" w:hAnsi="Arial" w:cs="Arial"/>
          <w:sz w:val="20"/>
          <w:szCs w:val="20"/>
        </w:rPr>
        <w:t>P</w:t>
      </w:r>
      <w:r w:rsidR="00E969D1" w:rsidRPr="00906B08">
        <w:rPr>
          <w:rFonts w:ascii="Arial" w:hAnsi="Arial" w:cs="Arial"/>
          <w:sz w:val="20"/>
          <w:szCs w:val="20"/>
        </w:rPr>
        <w:t xml:space="preserve">rograme gradskih kotara i mjesnih odbora </w:t>
      </w:r>
      <w:r w:rsidR="00E51C28" w:rsidRPr="00906B08">
        <w:rPr>
          <w:rFonts w:ascii="Arial" w:hAnsi="Arial" w:cs="Arial"/>
          <w:sz w:val="20"/>
          <w:szCs w:val="20"/>
        </w:rPr>
        <w:t>1.160.530</w:t>
      </w:r>
      <w:r w:rsidR="00E969D1" w:rsidRPr="00906B08">
        <w:rPr>
          <w:rFonts w:ascii="Arial" w:hAnsi="Arial" w:cs="Arial"/>
          <w:sz w:val="20"/>
          <w:szCs w:val="20"/>
        </w:rPr>
        <w:t xml:space="preserve"> kn</w:t>
      </w:r>
      <w:r w:rsidRPr="00906B08">
        <w:rPr>
          <w:rFonts w:ascii="Arial" w:hAnsi="Arial" w:cs="Arial"/>
          <w:sz w:val="20"/>
          <w:szCs w:val="20"/>
        </w:rPr>
        <w:t xml:space="preserve"> </w:t>
      </w:r>
      <w:r w:rsidR="00D84601" w:rsidRPr="00906B08">
        <w:rPr>
          <w:rFonts w:ascii="Arial" w:hAnsi="Arial" w:cs="Arial"/>
          <w:sz w:val="20"/>
          <w:szCs w:val="20"/>
        </w:rPr>
        <w:t>(</w:t>
      </w:r>
      <w:r w:rsidR="00E51C28" w:rsidRPr="00906B08">
        <w:rPr>
          <w:rFonts w:ascii="Arial" w:hAnsi="Arial" w:cs="Arial"/>
          <w:sz w:val="20"/>
          <w:szCs w:val="20"/>
        </w:rPr>
        <w:t>88</w:t>
      </w:r>
      <w:r w:rsidR="00D84601" w:rsidRPr="00906B08">
        <w:rPr>
          <w:rFonts w:ascii="Arial" w:hAnsi="Arial" w:cs="Arial"/>
          <w:sz w:val="20"/>
          <w:szCs w:val="20"/>
        </w:rPr>
        <w:t>%</w:t>
      </w:r>
      <w:r w:rsidR="00D30312" w:rsidRPr="00906B08">
        <w:rPr>
          <w:rFonts w:ascii="Arial" w:hAnsi="Arial" w:cs="Arial"/>
          <w:sz w:val="20"/>
          <w:szCs w:val="20"/>
        </w:rPr>
        <w:t xml:space="preserve"> </w:t>
      </w:r>
      <w:r w:rsidR="00E51C28" w:rsidRPr="00906B08">
        <w:rPr>
          <w:rFonts w:ascii="Arial" w:hAnsi="Arial" w:cs="Arial"/>
          <w:sz w:val="20"/>
          <w:szCs w:val="20"/>
        </w:rPr>
        <w:t>od planiranog</w:t>
      </w:r>
      <w:r w:rsidRPr="00906B08">
        <w:rPr>
          <w:rFonts w:ascii="Arial" w:hAnsi="Arial" w:cs="Arial"/>
          <w:sz w:val="20"/>
          <w:szCs w:val="20"/>
        </w:rPr>
        <w:t>)</w:t>
      </w:r>
      <w:r w:rsidR="00E51C28" w:rsidRPr="00906B08">
        <w:rPr>
          <w:rFonts w:ascii="Arial" w:hAnsi="Arial" w:cs="Arial"/>
          <w:sz w:val="20"/>
          <w:szCs w:val="20"/>
        </w:rPr>
        <w:t>.</w:t>
      </w:r>
      <w:r w:rsidR="00E969D1" w:rsidRPr="00906B08">
        <w:rPr>
          <w:rFonts w:ascii="Arial" w:hAnsi="Arial" w:cs="Arial"/>
          <w:sz w:val="20"/>
          <w:szCs w:val="20"/>
        </w:rPr>
        <w:t xml:space="preserve"> </w:t>
      </w:r>
    </w:p>
    <w:p w14:paraId="0225FAAC" w14:textId="77777777" w:rsidR="009A010C" w:rsidRPr="009A010C" w:rsidRDefault="00E969D1" w:rsidP="008819E3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010C">
        <w:rPr>
          <w:rFonts w:ascii="Arial" w:hAnsi="Arial" w:cs="Arial"/>
          <w:sz w:val="20"/>
          <w:szCs w:val="20"/>
        </w:rPr>
        <w:t xml:space="preserve"> </w:t>
      </w:r>
    </w:p>
    <w:p w14:paraId="773D6238" w14:textId="2AB52D54" w:rsidR="00306DB0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98A671" w14:textId="1235F600" w:rsidR="00306DB0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2B1346" w14:textId="7E8F43E3" w:rsidR="00306DB0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92C450A" w14:textId="77777777" w:rsidR="00306DB0" w:rsidRPr="002517A6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768EB0" w14:textId="1D9DCBFB" w:rsidR="00C06409" w:rsidRDefault="00306DB0">
      <w:r>
        <w:rPr>
          <w:noProof/>
        </w:rPr>
        <w:lastRenderedPageBreak/>
        <w:drawing>
          <wp:inline distT="0" distB="0" distL="0" distR="0" wp14:anchorId="34A43A3D" wp14:editId="5E1E17F1">
            <wp:extent cx="7867015" cy="4438434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1DD8436C-D1BD-4378-914B-C175AFA31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C06409" w:rsidSect="002142E5">
      <w:footerReference w:type="default" r:id="rId14"/>
      <w:pgSz w:w="16840" w:h="1190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EBB8" w14:textId="77777777" w:rsidR="00B158CF" w:rsidRDefault="00B158CF" w:rsidP="00702F12">
      <w:pPr>
        <w:spacing w:after="0" w:line="240" w:lineRule="auto"/>
      </w:pPr>
      <w:r>
        <w:separator/>
      </w:r>
    </w:p>
  </w:endnote>
  <w:endnote w:type="continuationSeparator" w:id="0">
    <w:p w14:paraId="231A2E01" w14:textId="77777777" w:rsidR="00B158CF" w:rsidRDefault="00B158CF" w:rsidP="0070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917798"/>
      <w:docPartObj>
        <w:docPartGallery w:val="Page Numbers (Bottom of Page)"/>
        <w:docPartUnique/>
      </w:docPartObj>
    </w:sdtPr>
    <w:sdtContent>
      <w:p w14:paraId="38D5FF3B" w14:textId="788FA715" w:rsidR="00670536" w:rsidRDefault="00693FD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0F015" wp14:editId="72DF38B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7335D" w14:textId="77777777" w:rsidR="00856F7E" w:rsidRDefault="00856F7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260F015" id="Rectangle 1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BE7335D" w14:textId="77777777" w:rsidR="00856F7E" w:rsidRDefault="00856F7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58B6C0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9A94" w14:textId="77777777" w:rsidR="00B158CF" w:rsidRDefault="00B158CF" w:rsidP="00702F12">
      <w:pPr>
        <w:spacing w:after="0" w:line="240" w:lineRule="auto"/>
      </w:pPr>
      <w:r>
        <w:separator/>
      </w:r>
    </w:p>
  </w:footnote>
  <w:footnote w:type="continuationSeparator" w:id="0">
    <w:p w14:paraId="78CBC780" w14:textId="77777777" w:rsidR="00B158CF" w:rsidRDefault="00B158CF" w:rsidP="0070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E63"/>
      </v:shape>
    </w:pict>
  </w:numPicBullet>
  <w:abstractNum w:abstractNumId="0" w15:restartNumberingAfterBreak="0">
    <w:nsid w:val="1F0B110A"/>
    <w:multiLevelType w:val="hybridMultilevel"/>
    <w:tmpl w:val="DAA8D8E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CDE"/>
    <w:multiLevelType w:val="hybridMultilevel"/>
    <w:tmpl w:val="39A016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8B"/>
    <w:multiLevelType w:val="hybridMultilevel"/>
    <w:tmpl w:val="BB58C6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9D8"/>
    <w:multiLevelType w:val="hybridMultilevel"/>
    <w:tmpl w:val="55C8301A"/>
    <w:lvl w:ilvl="0" w:tplc="041A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4" w15:restartNumberingAfterBreak="0">
    <w:nsid w:val="287F49F8"/>
    <w:multiLevelType w:val="hybridMultilevel"/>
    <w:tmpl w:val="01AC7AE2"/>
    <w:lvl w:ilvl="0" w:tplc="041A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2F52199B"/>
    <w:multiLevelType w:val="hybridMultilevel"/>
    <w:tmpl w:val="1CD45FA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E9E"/>
    <w:multiLevelType w:val="hybridMultilevel"/>
    <w:tmpl w:val="06B25C5E"/>
    <w:lvl w:ilvl="0" w:tplc="041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1EA78EC"/>
    <w:multiLevelType w:val="hybridMultilevel"/>
    <w:tmpl w:val="96EA101A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8" w15:restartNumberingAfterBreak="0">
    <w:nsid w:val="43B96339"/>
    <w:multiLevelType w:val="hybridMultilevel"/>
    <w:tmpl w:val="AB9AA9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E3B"/>
    <w:multiLevelType w:val="hybridMultilevel"/>
    <w:tmpl w:val="30AEFC88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63736C80"/>
    <w:multiLevelType w:val="hybridMultilevel"/>
    <w:tmpl w:val="91282B0C"/>
    <w:lvl w:ilvl="0" w:tplc="041A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680607AF"/>
    <w:multiLevelType w:val="hybridMultilevel"/>
    <w:tmpl w:val="D040A1CC"/>
    <w:lvl w:ilvl="0" w:tplc="041A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num w:numId="1" w16cid:durableId="518399933">
    <w:abstractNumId w:val="4"/>
  </w:num>
  <w:num w:numId="2" w16cid:durableId="786850149">
    <w:abstractNumId w:val="3"/>
  </w:num>
  <w:num w:numId="3" w16cid:durableId="2127383225">
    <w:abstractNumId w:val="7"/>
  </w:num>
  <w:num w:numId="4" w16cid:durableId="1754886399">
    <w:abstractNumId w:val="11"/>
  </w:num>
  <w:num w:numId="5" w16cid:durableId="66535431">
    <w:abstractNumId w:val="10"/>
  </w:num>
  <w:num w:numId="6" w16cid:durableId="711883150">
    <w:abstractNumId w:val="6"/>
  </w:num>
  <w:num w:numId="7" w16cid:durableId="1340083164">
    <w:abstractNumId w:val="2"/>
  </w:num>
  <w:num w:numId="8" w16cid:durableId="801117259">
    <w:abstractNumId w:val="8"/>
  </w:num>
  <w:num w:numId="9" w16cid:durableId="13729174">
    <w:abstractNumId w:val="5"/>
  </w:num>
  <w:num w:numId="10" w16cid:durableId="1119376036">
    <w:abstractNumId w:val="1"/>
  </w:num>
  <w:num w:numId="11" w16cid:durableId="1501113847">
    <w:abstractNumId w:val="0"/>
  </w:num>
  <w:num w:numId="12" w16cid:durableId="358355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6"/>
    <w:rsid w:val="000014C3"/>
    <w:rsid w:val="000065E7"/>
    <w:rsid w:val="0001503D"/>
    <w:rsid w:val="000158FE"/>
    <w:rsid w:val="000164D6"/>
    <w:rsid w:val="000231BC"/>
    <w:rsid w:val="00023268"/>
    <w:rsid w:val="00025FA2"/>
    <w:rsid w:val="00025FFF"/>
    <w:rsid w:val="0003156C"/>
    <w:rsid w:val="000338CF"/>
    <w:rsid w:val="00041740"/>
    <w:rsid w:val="00050DD5"/>
    <w:rsid w:val="00054DF2"/>
    <w:rsid w:val="000559AF"/>
    <w:rsid w:val="00062B0A"/>
    <w:rsid w:val="00063F06"/>
    <w:rsid w:val="00066780"/>
    <w:rsid w:val="000674C5"/>
    <w:rsid w:val="00067980"/>
    <w:rsid w:val="000714CC"/>
    <w:rsid w:val="00071A8B"/>
    <w:rsid w:val="0007279C"/>
    <w:rsid w:val="00075FE2"/>
    <w:rsid w:val="00090BE1"/>
    <w:rsid w:val="000964BA"/>
    <w:rsid w:val="000A03EE"/>
    <w:rsid w:val="000A2806"/>
    <w:rsid w:val="000A2DD9"/>
    <w:rsid w:val="000B2C6E"/>
    <w:rsid w:val="000B4016"/>
    <w:rsid w:val="000C69AF"/>
    <w:rsid w:val="000D02B2"/>
    <w:rsid w:val="000D12AD"/>
    <w:rsid w:val="000D4B7D"/>
    <w:rsid w:val="000D5FD0"/>
    <w:rsid w:val="000D77BE"/>
    <w:rsid w:val="000E31A8"/>
    <w:rsid w:val="000E3F06"/>
    <w:rsid w:val="000F39B8"/>
    <w:rsid w:val="000F3A05"/>
    <w:rsid w:val="00103524"/>
    <w:rsid w:val="00103871"/>
    <w:rsid w:val="00105398"/>
    <w:rsid w:val="00112907"/>
    <w:rsid w:val="001170A8"/>
    <w:rsid w:val="001263A6"/>
    <w:rsid w:val="00127D4F"/>
    <w:rsid w:val="001300D3"/>
    <w:rsid w:val="00130331"/>
    <w:rsid w:val="0013220B"/>
    <w:rsid w:val="00137740"/>
    <w:rsid w:val="00137AB1"/>
    <w:rsid w:val="00147F41"/>
    <w:rsid w:val="00157B90"/>
    <w:rsid w:val="0016284E"/>
    <w:rsid w:val="00162B20"/>
    <w:rsid w:val="00165088"/>
    <w:rsid w:val="00174384"/>
    <w:rsid w:val="00182F06"/>
    <w:rsid w:val="00183E81"/>
    <w:rsid w:val="001841D7"/>
    <w:rsid w:val="0018699F"/>
    <w:rsid w:val="00186FE1"/>
    <w:rsid w:val="00195B54"/>
    <w:rsid w:val="001A3875"/>
    <w:rsid w:val="001A68CE"/>
    <w:rsid w:val="001B0129"/>
    <w:rsid w:val="001B2ED7"/>
    <w:rsid w:val="001B388B"/>
    <w:rsid w:val="001B4B1F"/>
    <w:rsid w:val="001B54AC"/>
    <w:rsid w:val="001B624B"/>
    <w:rsid w:val="001C07A9"/>
    <w:rsid w:val="001D0EC9"/>
    <w:rsid w:val="001D2334"/>
    <w:rsid w:val="001D4614"/>
    <w:rsid w:val="001E1B7C"/>
    <w:rsid w:val="001E6F13"/>
    <w:rsid w:val="001E71B0"/>
    <w:rsid w:val="001F5E6F"/>
    <w:rsid w:val="00200E8B"/>
    <w:rsid w:val="00204270"/>
    <w:rsid w:val="00204E2A"/>
    <w:rsid w:val="00205748"/>
    <w:rsid w:val="00211A4A"/>
    <w:rsid w:val="002122FF"/>
    <w:rsid w:val="00213E6C"/>
    <w:rsid w:val="002142E5"/>
    <w:rsid w:val="002314CC"/>
    <w:rsid w:val="00231D0D"/>
    <w:rsid w:val="00234596"/>
    <w:rsid w:val="00242A3A"/>
    <w:rsid w:val="00244D21"/>
    <w:rsid w:val="0024519A"/>
    <w:rsid w:val="0024633F"/>
    <w:rsid w:val="002517A6"/>
    <w:rsid w:val="002517CD"/>
    <w:rsid w:val="00260A5F"/>
    <w:rsid w:val="00261709"/>
    <w:rsid w:val="00262333"/>
    <w:rsid w:val="0026281C"/>
    <w:rsid w:val="0027480F"/>
    <w:rsid w:val="00282C46"/>
    <w:rsid w:val="00283CE8"/>
    <w:rsid w:val="002936E8"/>
    <w:rsid w:val="00293C6A"/>
    <w:rsid w:val="002A1414"/>
    <w:rsid w:val="002A49F9"/>
    <w:rsid w:val="002A5464"/>
    <w:rsid w:val="002B06F3"/>
    <w:rsid w:val="002C13DA"/>
    <w:rsid w:val="002C3480"/>
    <w:rsid w:val="002C37B5"/>
    <w:rsid w:val="002D5CBD"/>
    <w:rsid w:val="002E398B"/>
    <w:rsid w:val="002E5E65"/>
    <w:rsid w:val="002F02CD"/>
    <w:rsid w:val="002F0C15"/>
    <w:rsid w:val="002F6740"/>
    <w:rsid w:val="00304368"/>
    <w:rsid w:val="0030494A"/>
    <w:rsid w:val="00305E0E"/>
    <w:rsid w:val="00306DB0"/>
    <w:rsid w:val="003105CA"/>
    <w:rsid w:val="00312C98"/>
    <w:rsid w:val="00313A7B"/>
    <w:rsid w:val="00323BEA"/>
    <w:rsid w:val="00324AAE"/>
    <w:rsid w:val="00330F38"/>
    <w:rsid w:val="0033113D"/>
    <w:rsid w:val="003316DE"/>
    <w:rsid w:val="00332515"/>
    <w:rsid w:val="003369D3"/>
    <w:rsid w:val="003429CC"/>
    <w:rsid w:val="00347D03"/>
    <w:rsid w:val="003602AD"/>
    <w:rsid w:val="00361457"/>
    <w:rsid w:val="0036299D"/>
    <w:rsid w:val="003631A4"/>
    <w:rsid w:val="003640A5"/>
    <w:rsid w:val="00372061"/>
    <w:rsid w:val="00373E46"/>
    <w:rsid w:val="003765C7"/>
    <w:rsid w:val="00381543"/>
    <w:rsid w:val="00383597"/>
    <w:rsid w:val="003857FB"/>
    <w:rsid w:val="003870B1"/>
    <w:rsid w:val="0039636C"/>
    <w:rsid w:val="00397CD1"/>
    <w:rsid w:val="003A0313"/>
    <w:rsid w:val="003A4A82"/>
    <w:rsid w:val="003A5496"/>
    <w:rsid w:val="003A5E0B"/>
    <w:rsid w:val="003A6C5D"/>
    <w:rsid w:val="003B0122"/>
    <w:rsid w:val="003B4507"/>
    <w:rsid w:val="003B4DE1"/>
    <w:rsid w:val="003B6C34"/>
    <w:rsid w:val="003B6F7D"/>
    <w:rsid w:val="003C042B"/>
    <w:rsid w:val="003C5E0A"/>
    <w:rsid w:val="003C6C62"/>
    <w:rsid w:val="003D13E0"/>
    <w:rsid w:val="003D37D9"/>
    <w:rsid w:val="003E14C0"/>
    <w:rsid w:val="003E549A"/>
    <w:rsid w:val="003E6962"/>
    <w:rsid w:val="003F060A"/>
    <w:rsid w:val="003F40D1"/>
    <w:rsid w:val="003F6BCD"/>
    <w:rsid w:val="00402E09"/>
    <w:rsid w:val="004147C7"/>
    <w:rsid w:val="00417316"/>
    <w:rsid w:val="00421341"/>
    <w:rsid w:val="004220E6"/>
    <w:rsid w:val="00422BF9"/>
    <w:rsid w:val="00423076"/>
    <w:rsid w:val="00425DF0"/>
    <w:rsid w:val="00425EA9"/>
    <w:rsid w:val="00426E74"/>
    <w:rsid w:val="00427B7F"/>
    <w:rsid w:val="004344DB"/>
    <w:rsid w:val="00434AF7"/>
    <w:rsid w:val="0043672D"/>
    <w:rsid w:val="00447B5A"/>
    <w:rsid w:val="00462B68"/>
    <w:rsid w:val="0046640A"/>
    <w:rsid w:val="004703A2"/>
    <w:rsid w:val="00475B93"/>
    <w:rsid w:val="00475CA6"/>
    <w:rsid w:val="00475E81"/>
    <w:rsid w:val="004774EB"/>
    <w:rsid w:val="00490ECA"/>
    <w:rsid w:val="00497478"/>
    <w:rsid w:val="004A4E30"/>
    <w:rsid w:val="004A63BB"/>
    <w:rsid w:val="004A7DDC"/>
    <w:rsid w:val="004C340F"/>
    <w:rsid w:val="004C34CE"/>
    <w:rsid w:val="004C3630"/>
    <w:rsid w:val="004C398B"/>
    <w:rsid w:val="004D0158"/>
    <w:rsid w:val="004D4B2C"/>
    <w:rsid w:val="004E007F"/>
    <w:rsid w:val="004E44C8"/>
    <w:rsid w:val="004F20CF"/>
    <w:rsid w:val="004F23BD"/>
    <w:rsid w:val="004F2AA4"/>
    <w:rsid w:val="00500500"/>
    <w:rsid w:val="00503E50"/>
    <w:rsid w:val="005072BF"/>
    <w:rsid w:val="005078F0"/>
    <w:rsid w:val="00512ECF"/>
    <w:rsid w:val="005151E0"/>
    <w:rsid w:val="0051528E"/>
    <w:rsid w:val="0051712C"/>
    <w:rsid w:val="00521CB6"/>
    <w:rsid w:val="00523EF6"/>
    <w:rsid w:val="005317CD"/>
    <w:rsid w:val="00533224"/>
    <w:rsid w:val="00540261"/>
    <w:rsid w:val="00541D58"/>
    <w:rsid w:val="005432BC"/>
    <w:rsid w:val="00544F23"/>
    <w:rsid w:val="005451AF"/>
    <w:rsid w:val="00551F8A"/>
    <w:rsid w:val="00554020"/>
    <w:rsid w:val="0055794A"/>
    <w:rsid w:val="00557FFE"/>
    <w:rsid w:val="00562FB4"/>
    <w:rsid w:val="0056324D"/>
    <w:rsid w:val="00565086"/>
    <w:rsid w:val="0056547D"/>
    <w:rsid w:val="00576BDB"/>
    <w:rsid w:val="005829DD"/>
    <w:rsid w:val="00585836"/>
    <w:rsid w:val="00585F2F"/>
    <w:rsid w:val="00587945"/>
    <w:rsid w:val="00592F49"/>
    <w:rsid w:val="00595E57"/>
    <w:rsid w:val="00596242"/>
    <w:rsid w:val="005A30F2"/>
    <w:rsid w:val="005A3911"/>
    <w:rsid w:val="005A5088"/>
    <w:rsid w:val="005A69C0"/>
    <w:rsid w:val="005B1924"/>
    <w:rsid w:val="005C36B0"/>
    <w:rsid w:val="005C3D32"/>
    <w:rsid w:val="005C7DD8"/>
    <w:rsid w:val="005C7E7F"/>
    <w:rsid w:val="005D248C"/>
    <w:rsid w:val="005D75E8"/>
    <w:rsid w:val="005E0BF0"/>
    <w:rsid w:val="005E0C24"/>
    <w:rsid w:val="005E2F3B"/>
    <w:rsid w:val="005E517B"/>
    <w:rsid w:val="005F05CC"/>
    <w:rsid w:val="005F4A24"/>
    <w:rsid w:val="005F53C2"/>
    <w:rsid w:val="005F61FD"/>
    <w:rsid w:val="00600167"/>
    <w:rsid w:val="0060235A"/>
    <w:rsid w:val="00603645"/>
    <w:rsid w:val="00612938"/>
    <w:rsid w:val="00630817"/>
    <w:rsid w:val="00630E8E"/>
    <w:rsid w:val="0063175E"/>
    <w:rsid w:val="00634BFD"/>
    <w:rsid w:val="006351CC"/>
    <w:rsid w:val="0063582A"/>
    <w:rsid w:val="00636ED0"/>
    <w:rsid w:val="00637D8E"/>
    <w:rsid w:val="00647399"/>
    <w:rsid w:val="0065192D"/>
    <w:rsid w:val="00664545"/>
    <w:rsid w:val="00664FFD"/>
    <w:rsid w:val="006651C0"/>
    <w:rsid w:val="00666EB6"/>
    <w:rsid w:val="00670536"/>
    <w:rsid w:val="00675BD2"/>
    <w:rsid w:val="006776F9"/>
    <w:rsid w:val="00681561"/>
    <w:rsid w:val="00687FC6"/>
    <w:rsid w:val="00693D38"/>
    <w:rsid w:val="00693FD4"/>
    <w:rsid w:val="006A36B2"/>
    <w:rsid w:val="006A4A0C"/>
    <w:rsid w:val="006A62D1"/>
    <w:rsid w:val="006A7C95"/>
    <w:rsid w:val="006B2830"/>
    <w:rsid w:val="006B30EB"/>
    <w:rsid w:val="006B5977"/>
    <w:rsid w:val="006C05FA"/>
    <w:rsid w:val="006D0CB9"/>
    <w:rsid w:val="006D2C6F"/>
    <w:rsid w:val="006D37C4"/>
    <w:rsid w:val="006E18F7"/>
    <w:rsid w:val="006E4A30"/>
    <w:rsid w:val="006E52DB"/>
    <w:rsid w:val="006E5D33"/>
    <w:rsid w:val="006F0737"/>
    <w:rsid w:val="006F1C84"/>
    <w:rsid w:val="006F7BD4"/>
    <w:rsid w:val="006F7CF1"/>
    <w:rsid w:val="00702541"/>
    <w:rsid w:val="00702F12"/>
    <w:rsid w:val="00703526"/>
    <w:rsid w:val="00703D02"/>
    <w:rsid w:val="007050B6"/>
    <w:rsid w:val="00705DAA"/>
    <w:rsid w:val="00716EC4"/>
    <w:rsid w:val="0071744F"/>
    <w:rsid w:val="007202CD"/>
    <w:rsid w:val="00720617"/>
    <w:rsid w:val="00720A19"/>
    <w:rsid w:val="00721173"/>
    <w:rsid w:val="007216FB"/>
    <w:rsid w:val="00731C19"/>
    <w:rsid w:val="007351E4"/>
    <w:rsid w:val="0073521E"/>
    <w:rsid w:val="0073580C"/>
    <w:rsid w:val="007410B7"/>
    <w:rsid w:val="00745F3A"/>
    <w:rsid w:val="00752044"/>
    <w:rsid w:val="00752345"/>
    <w:rsid w:val="0075262A"/>
    <w:rsid w:val="007542F1"/>
    <w:rsid w:val="00757336"/>
    <w:rsid w:val="00757BCF"/>
    <w:rsid w:val="00767F66"/>
    <w:rsid w:val="007759C0"/>
    <w:rsid w:val="00776AF3"/>
    <w:rsid w:val="007771F7"/>
    <w:rsid w:val="00780D91"/>
    <w:rsid w:val="007811AB"/>
    <w:rsid w:val="00781321"/>
    <w:rsid w:val="007824F1"/>
    <w:rsid w:val="007827EB"/>
    <w:rsid w:val="0078287F"/>
    <w:rsid w:val="007837FD"/>
    <w:rsid w:val="0079019F"/>
    <w:rsid w:val="007906DA"/>
    <w:rsid w:val="00791E2E"/>
    <w:rsid w:val="007958ED"/>
    <w:rsid w:val="007A2DD7"/>
    <w:rsid w:val="007A3D75"/>
    <w:rsid w:val="007A497F"/>
    <w:rsid w:val="007C1166"/>
    <w:rsid w:val="007C1E0B"/>
    <w:rsid w:val="007C2282"/>
    <w:rsid w:val="007C65DD"/>
    <w:rsid w:val="007C7892"/>
    <w:rsid w:val="007D33C9"/>
    <w:rsid w:val="007D4176"/>
    <w:rsid w:val="007D5BDB"/>
    <w:rsid w:val="007D5EC9"/>
    <w:rsid w:val="007E0F6C"/>
    <w:rsid w:val="007E4CCC"/>
    <w:rsid w:val="007E5C82"/>
    <w:rsid w:val="0080316B"/>
    <w:rsid w:val="00811BC8"/>
    <w:rsid w:val="00813336"/>
    <w:rsid w:val="00814871"/>
    <w:rsid w:val="00816706"/>
    <w:rsid w:val="00832BEB"/>
    <w:rsid w:val="00840EB4"/>
    <w:rsid w:val="00840FF2"/>
    <w:rsid w:val="008429E9"/>
    <w:rsid w:val="00852714"/>
    <w:rsid w:val="00856923"/>
    <w:rsid w:val="00856F7E"/>
    <w:rsid w:val="0086313A"/>
    <w:rsid w:val="00863547"/>
    <w:rsid w:val="00865F55"/>
    <w:rsid w:val="008702A9"/>
    <w:rsid w:val="0087652C"/>
    <w:rsid w:val="008765F5"/>
    <w:rsid w:val="008819E3"/>
    <w:rsid w:val="00881A80"/>
    <w:rsid w:val="0088302F"/>
    <w:rsid w:val="00884BB4"/>
    <w:rsid w:val="008864C0"/>
    <w:rsid w:val="00886852"/>
    <w:rsid w:val="00894F44"/>
    <w:rsid w:val="00896394"/>
    <w:rsid w:val="008964F4"/>
    <w:rsid w:val="00897CD0"/>
    <w:rsid w:val="008A28D6"/>
    <w:rsid w:val="008A6031"/>
    <w:rsid w:val="008B01B8"/>
    <w:rsid w:val="008B52F7"/>
    <w:rsid w:val="008C2F85"/>
    <w:rsid w:val="008C3E92"/>
    <w:rsid w:val="008C4B77"/>
    <w:rsid w:val="008C6836"/>
    <w:rsid w:val="008C7774"/>
    <w:rsid w:val="008D16EC"/>
    <w:rsid w:val="008D30DC"/>
    <w:rsid w:val="008D39DE"/>
    <w:rsid w:val="008D5E43"/>
    <w:rsid w:val="008D6590"/>
    <w:rsid w:val="008D66AD"/>
    <w:rsid w:val="008E005E"/>
    <w:rsid w:val="008E42D2"/>
    <w:rsid w:val="008E5CD6"/>
    <w:rsid w:val="008F0F57"/>
    <w:rsid w:val="008F672E"/>
    <w:rsid w:val="00900EE6"/>
    <w:rsid w:val="00901879"/>
    <w:rsid w:val="00906B08"/>
    <w:rsid w:val="00910634"/>
    <w:rsid w:val="00911279"/>
    <w:rsid w:val="00911721"/>
    <w:rsid w:val="00915B2E"/>
    <w:rsid w:val="00920A88"/>
    <w:rsid w:val="0092688E"/>
    <w:rsid w:val="00927990"/>
    <w:rsid w:val="0093160B"/>
    <w:rsid w:val="00931EB5"/>
    <w:rsid w:val="00933469"/>
    <w:rsid w:val="00944308"/>
    <w:rsid w:val="0094604E"/>
    <w:rsid w:val="009677F4"/>
    <w:rsid w:val="00970F9D"/>
    <w:rsid w:val="00972263"/>
    <w:rsid w:val="009755ED"/>
    <w:rsid w:val="00980132"/>
    <w:rsid w:val="00980B38"/>
    <w:rsid w:val="00983054"/>
    <w:rsid w:val="00994936"/>
    <w:rsid w:val="00996A02"/>
    <w:rsid w:val="009A010C"/>
    <w:rsid w:val="009A140E"/>
    <w:rsid w:val="009A2133"/>
    <w:rsid w:val="009A49B2"/>
    <w:rsid w:val="009B255A"/>
    <w:rsid w:val="009B2A5B"/>
    <w:rsid w:val="009B5FC4"/>
    <w:rsid w:val="009B6C84"/>
    <w:rsid w:val="009C3D7F"/>
    <w:rsid w:val="009C5DB0"/>
    <w:rsid w:val="009D07C7"/>
    <w:rsid w:val="009D3D48"/>
    <w:rsid w:val="009D5EB7"/>
    <w:rsid w:val="009D649C"/>
    <w:rsid w:val="009E1861"/>
    <w:rsid w:val="009E6B6D"/>
    <w:rsid w:val="009E7B9D"/>
    <w:rsid w:val="009F7F5A"/>
    <w:rsid w:val="00A01F8A"/>
    <w:rsid w:val="00A055CD"/>
    <w:rsid w:val="00A07981"/>
    <w:rsid w:val="00A11957"/>
    <w:rsid w:val="00A13880"/>
    <w:rsid w:val="00A1574F"/>
    <w:rsid w:val="00A17E58"/>
    <w:rsid w:val="00A17EFE"/>
    <w:rsid w:val="00A17F73"/>
    <w:rsid w:val="00A23092"/>
    <w:rsid w:val="00A24144"/>
    <w:rsid w:val="00A24D34"/>
    <w:rsid w:val="00A32DC6"/>
    <w:rsid w:val="00A35629"/>
    <w:rsid w:val="00A370C4"/>
    <w:rsid w:val="00A3756E"/>
    <w:rsid w:val="00A42788"/>
    <w:rsid w:val="00A43F7A"/>
    <w:rsid w:val="00A45188"/>
    <w:rsid w:val="00A5225E"/>
    <w:rsid w:val="00A54717"/>
    <w:rsid w:val="00A556D5"/>
    <w:rsid w:val="00A56920"/>
    <w:rsid w:val="00A61FC1"/>
    <w:rsid w:val="00A7056E"/>
    <w:rsid w:val="00A96667"/>
    <w:rsid w:val="00AA332A"/>
    <w:rsid w:val="00AA40C6"/>
    <w:rsid w:val="00AA485A"/>
    <w:rsid w:val="00AA5576"/>
    <w:rsid w:val="00AA5B0F"/>
    <w:rsid w:val="00AB2AB1"/>
    <w:rsid w:val="00AB31FC"/>
    <w:rsid w:val="00AC2C42"/>
    <w:rsid w:val="00AC4ABD"/>
    <w:rsid w:val="00AC5240"/>
    <w:rsid w:val="00AD2D47"/>
    <w:rsid w:val="00AD328D"/>
    <w:rsid w:val="00AD46BA"/>
    <w:rsid w:val="00AD4CA7"/>
    <w:rsid w:val="00AE14D0"/>
    <w:rsid w:val="00AE2D9A"/>
    <w:rsid w:val="00AE33F0"/>
    <w:rsid w:val="00AE5800"/>
    <w:rsid w:val="00AE582A"/>
    <w:rsid w:val="00AF12EE"/>
    <w:rsid w:val="00AF168E"/>
    <w:rsid w:val="00AF3530"/>
    <w:rsid w:val="00AF3C85"/>
    <w:rsid w:val="00B071C1"/>
    <w:rsid w:val="00B158CF"/>
    <w:rsid w:val="00B22CE6"/>
    <w:rsid w:val="00B23213"/>
    <w:rsid w:val="00B334B9"/>
    <w:rsid w:val="00B356C2"/>
    <w:rsid w:val="00B36292"/>
    <w:rsid w:val="00B37EBB"/>
    <w:rsid w:val="00B40CAC"/>
    <w:rsid w:val="00B422A4"/>
    <w:rsid w:val="00B42E6B"/>
    <w:rsid w:val="00B44C01"/>
    <w:rsid w:val="00B458BB"/>
    <w:rsid w:val="00B52467"/>
    <w:rsid w:val="00B61400"/>
    <w:rsid w:val="00B63EC0"/>
    <w:rsid w:val="00B6491C"/>
    <w:rsid w:val="00B662E4"/>
    <w:rsid w:val="00B7048F"/>
    <w:rsid w:val="00B704DC"/>
    <w:rsid w:val="00B7148A"/>
    <w:rsid w:val="00B7276C"/>
    <w:rsid w:val="00B74C5C"/>
    <w:rsid w:val="00B769AE"/>
    <w:rsid w:val="00B777C5"/>
    <w:rsid w:val="00B811FA"/>
    <w:rsid w:val="00B87396"/>
    <w:rsid w:val="00B9007B"/>
    <w:rsid w:val="00B9044A"/>
    <w:rsid w:val="00B915B2"/>
    <w:rsid w:val="00B9308E"/>
    <w:rsid w:val="00B95B79"/>
    <w:rsid w:val="00BA1367"/>
    <w:rsid w:val="00BA252C"/>
    <w:rsid w:val="00BA28F1"/>
    <w:rsid w:val="00BA4D7F"/>
    <w:rsid w:val="00BA5DCC"/>
    <w:rsid w:val="00BB00E1"/>
    <w:rsid w:val="00BB1862"/>
    <w:rsid w:val="00BB48C8"/>
    <w:rsid w:val="00BB5AD4"/>
    <w:rsid w:val="00BC1391"/>
    <w:rsid w:val="00BC1C72"/>
    <w:rsid w:val="00BC28F2"/>
    <w:rsid w:val="00BC2B17"/>
    <w:rsid w:val="00BC7689"/>
    <w:rsid w:val="00BD0A4C"/>
    <w:rsid w:val="00BD4E83"/>
    <w:rsid w:val="00BD7398"/>
    <w:rsid w:val="00BE41F0"/>
    <w:rsid w:val="00BE547D"/>
    <w:rsid w:val="00BF4A27"/>
    <w:rsid w:val="00BF4CA0"/>
    <w:rsid w:val="00BF5335"/>
    <w:rsid w:val="00C00845"/>
    <w:rsid w:val="00C06409"/>
    <w:rsid w:val="00C076DE"/>
    <w:rsid w:val="00C11C3D"/>
    <w:rsid w:val="00C1288C"/>
    <w:rsid w:val="00C178E5"/>
    <w:rsid w:val="00C22E3C"/>
    <w:rsid w:val="00C251C9"/>
    <w:rsid w:val="00C305AB"/>
    <w:rsid w:val="00C32861"/>
    <w:rsid w:val="00C406E9"/>
    <w:rsid w:val="00C460F3"/>
    <w:rsid w:val="00C55188"/>
    <w:rsid w:val="00C573A2"/>
    <w:rsid w:val="00C76ED6"/>
    <w:rsid w:val="00C76EDF"/>
    <w:rsid w:val="00C82DD5"/>
    <w:rsid w:val="00C83E3F"/>
    <w:rsid w:val="00C877F1"/>
    <w:rsid w:val="00C90B69"/>
    <w:rsid w:val="00C9143C"/>
    <w:rsid w:val="00C9470A"/>
    <w:rsid w:val="00CA20EC"/>
    <w:rsid w:val="00CA2E54"/>
    <w:rsid w:val="00CA687F"/>
    <w:rsid w:val="00CA6F2C"/>
    <w:rsid w:val="00CA7C48"/>
    <w:rsid w:val="00CB2ABE"/>
    <w:rsid w:val="00CB3A0C"/>
    <w:rsid w:val="00CB40A5"/>
    <w:rsid w:val="00CB77F2"/>
    <w:rsid w:val="00CB7AE4"/>
    <w:rsid w:val="00CC2557"/>
    <w:rsid w:val="00CD04C8"/>
    <w:rsid w:val="00CD3DE1"/>
    <w:rsid w:val="00CD44B8"/>
    <w:rsid w:val="00CD4A0A"/>
    <w:rsid w:val="00CF1E2B"/>
    <w:rsid w:val="00CF284E"/>
    <w:rsid w:val="00CF4596"/>
    <w:rsid w:val="00CF6B26"/>
    <w:rsid w:val="00CF7984"/>
    <w:rsid w:val="00D04794"/>
    <w:rsid w:val="00D05A7D"/>
    <w:rsid w:val="00D0611A"/>
    <w:rsid w:val="00D10F4E"/>
    <w:rsid w:val="00D16F7B"/>
    <w:rsid w:val="00D178C0"/>
    <w:rsid w:val="00D20E65"/>
    <w:rsid w:val="00D2321F"/>
    <w:rsid w:val="00D24A8B"/>
    <w:rsid w:val="00D26595"/>
    <w:rsid w:val="00D30312"/>
    <w:rsid w:val="00D35717"/>
    <w:rsid w:val="00D371F1"/>
    <w:rsid w:val="00D37570"/>
    <w:rsid w:val="00D42638"/>
    <w:rsid w:val="00D42E34"/>
    <w:rsid w:val="00D46641"/>
    <w:rsid w:val="00D54924"/>
    <w:rsid w:val="00D6059C"/>
    <w:rsid w:val="00D629C9"/>
    <w:rsid w:val="00D72D7D"/>
    <w:rsid w:val="00D82D4C"/>
    <w:rsid w:val="00D84601"/>
    <w:rsid w:val="00D87ED3"/>
    <w:rsid w:val="00D90D04"/>
    <w:rsid w:val="00D91093"/>
    <w:rsid w:val="00D92BBD"/>
    <w:rsid w:val="00D93723"/>
    <w:rsid w:val="00D944A5"/>
    <w:rsid w:val="00D97543"/>
    <w:rsid w:val="00DA0CA8"/>
    <w:rsid w:val="00DA5669"/>
    <w:rsid w:val="00DB4AA8"/>
    <w:rsid w:val="00DB5B2F"/>
    <w:rsid w:val="00DC3455"/>
    <w:rsid w:val="00DC5A99"/>
    <w:rsid w:val="00DC6006"/>
    <w:rsid w:val="00DD1E95"/>
    <w:rsid w:val="00DE27BB"/>
    <w:rsid w:val="00DE4340"/>
    <w:rsid w:val="00DE6D77"/>
    <w:rsid w:val="00DF3C89"/>
    <w:rsid w:val="00DF4CE1"/>
    <w:rsid w:val="00DF57ED"/>
    <w:rsid w:val="00DF5BBD"/>
    <w:rsid w:val="00DF64A8"/>
    <w:rsid w:val="00DF792D"/>
    <w:rsid w:val="00E01EE7"/>
    <w:rsid w:val="00E01FC8"/>
    <w:rsid w:val="00E02008"/>
    <w:rsid w:val="00E052BF"/>
    <w:rsid w:val="00E0603B"/>
    <w:rsid w:val="00E12B3E"/>
    <w:rsid w:val="00E23F76"/>
    <w:rsid w:val="00E2500F"/>
    <w:rsid w:val="00E2595E"/>
    <w:rsid w:val="00E30A08"/>
    <w:rsid w:val="00E37224"/>
    <w:rsid w:val="00E40FE5"/>
    <w:rsid w:val="00E43486"/>
    <w:rsid w:val="00E50AD9"/>
    <w:rsid w:val="00E51C28"/>
    <w:rsid w:val="00E618E5"/>
    <w:rsid w:val="00E6461B"/>
    <w:rsid w:val="00E75D3E"/>
    <w:rsid w:val="00E80648"/>
    <w:rsid w:val="00E82FD3"/>
    <w:rsid w:val="00E91A7D"/>
    <w:rsid w:val="00E941D8"/>
    <w:rsid w:val="00E94ADE"/>
    <w:rsid w:val="00E95E21"/>
    <w:rsid w:val="00E969D1"/>
    <w:rsid w:val="00EA00C3"/>
    <w:rsid w:val="00EA098E"/>
    <w:rsid w:val="00EA1D47"/>
    <w:rsid w:val="00EA223C"/>
    <w:rsid w:val="00EB5F45"/>
    <w:rsid w:val="00EB6F3F"/>
    <w:rsid w:val="00EC0E6B"/>
    <w:rsid w:val="00EC2214"/>
    <w:rsid w:val="00ED0733"/>
    <w:rsid w:val="00ED29AC"/>
    <w:rsid w:val="00ED4FC5"/>
    <w:rsid w:val="00ED5388"/>
    <w:rsid w:val="00EF013C"/>
    <w:rsid w:val="00EF299A"/>
    <w:rsid w:val="00EF45CC"/>
    <w:rsid w:val="00F01C99"/>
    <w:rsid w:val="00F04DEB"/>
    <w:rsid w:val="00F07103"/>
    <w:rsid w:val="00F07A58"/>
    <w:rsid w:val="00F108BB"/>
    <w:rsid w:val="00F15FB8"/>
    <w:rsid w:val="00F20200"/>
    <w:rsid w:val="00F20E6A"/>
    <w:rsid w:val="00F215E4"/>
    <w:rsid w:val="00F24226"/>
    <w:rsid w:val="00F32598"/>
    <w:rsid w:val="00F343E7"/>
    <w:rsid w:val="00F36376"/>
    <w:rsid w:val="00F373FC"/>
    <w:rsid w:val="00F37BEF"/>
    <w:rsid w:val="00F45F59"/>
    <w:rsid w:val="00F57365"/>
    <w:rsid w:val="00F65805"/>
    <w:rsid w:val="00F65BAC"/>
    <w:rsid w:val="00F67B11"/>
    <w:rsid w:val="00F7140E"/>
    <w:rsid w:val="00F77A51"/>
    <w:rsid w:val="00F8117F"/>
    <w:rsid w:val="00F81C42"/>
    <w:rsid w:val="00F82165"/>
    <w:rsid w:val="00F90794"/>
    <w:rsid w:val="00FA1FA2"/>
    <w:rsid w:val="00FA2E63"/>
    <w:rsid w:val="00FA6E48"/>
    <w:rsid w:val="00FB0E19"/>
    <w:rsid w:val="00FB436E"/>
    <w:rsid w:val="00FC05A7"/>
    <w:rsid w:val="00FE45EC"/>
    <w:rsid w:val="00FE73E7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8A2BB"/>
  <w15:docId w15:val="{B7255387-72CC-4B15-8662-8678B03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43486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48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8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A7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1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39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7399"/>
    <w:pPr>
      <w:spacing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hr-HR" sz="1200" b="1" i="1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hr-HR" sz="1200" b="1" i="1" baseline="0">
                <a:effectLst/>
              </a:rPr>
              <a:t>USPOREDBA PLANIRANOG I IZVRŠENOG PRORAČUNA ZA 2021.GODINU </a:t>
            </a:r>
            <a:endParaRPr lang="hr-HR" sz="1200" i="1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1">
                  <a:lumMod val="50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0040154292664015E-2"/>
                  <c:y val="-9.389673675569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CC-4837-A7AF-20A7DD3ECA2F}"/>
                </c:ext>
              </c:extLst>
            </c:dLbl>
            <c:dLbl>
              <c:idx val="2"/>
              <c:layout>
                <c:manualLayout>
                  <c:x val="-8.0321234341312123E-3"/>
                  <c:y val="-1.2519564900759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CC-4837-A7AF-20A7DD3ECA2F}"/>
                </c:ext>
              </c:extLst>
            </c:dLbl>
            <c:dLbl>
              <c:idx val="3"/>
              <c:layout>
                <c:manualLayout>
                  <c:x val="-2.0080308585328087E-3"/>
                  <c:y val="-1.564945612594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CC-4837-A7AF-20A7DD3ECA2F}"/>
                </c:ext>
              </c:extLst>
            </c:dLbl>
            <c:dLbl>
              <c:idx val="4"/>
              <c:layout>
                <c:manualLayout>
                  <c:x val="-1.20481851511969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CC-4837-A7AF-20A7DD3ECA2F}"/>
                </c:ext>
              </c:extLst>
            </c:dLbl>
            <c:dLbl>
              <c:idx val="5"/>
              <c:layout>
                <c:manualLayout>
                  <c:x val="-1.00401542926640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CC-4837-A7AF-20A7DD3ECA2F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34313562</c:v>
                </c:pt>
                <c:pt idx="1">
                  <c:v>119411</c:v>
                </c:pt>
                <c:pt idx="2">
                  <c:v>25661174</c:v>
                </c:pt>
                <c:pt idx="3">
                  <c:v>19024441</c:v>
                </c:pt>
                <c:pt idx="4">
                  <c:v>1467000</c:v>
                </c:pt>
                <c:pt idx="5">
                  <c:v>11983852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CC-4837-A7AF-20A7DD3ECA2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85000"/>
              </a:schemeClr>
            </a:solidFill>
            <a:ln w="9525" cap="flat" cmpd="sng" algn="ctr">
              <a:solidFill>
                <a:schemeClr val="tx2">
                  <a:lumMod val="75000"/>
                </a:schemeClr>
              </a:solidFill>
              <a:round/>
            </a:ln>
            <a:effectLst/>
            <a:sp3d contourW="9525">
              <a:contourClr>
                <a:schemeClr val="tx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40154292663979E-2"/>
                  <c:y val="-2.795496986039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CC-4837-A7AF-20A7DD3ECA2F}"/>
                </c:ext>
              </c:extLst>
            </c:dLbl>
            <c:dLbl>
              <c:idx val="2"/>
              <c:layout>
                <c:manualLayout>
                  <c:x val="1.2048185151196744E-2"/>
                  <c:y val="-6.25978245037951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CC-4837-A7AF-20A7DD3ECA2F}"/>
                </c:ext>
              </c:extLst>
            </c:dLbl>
            <c:dLbl>
              <c:idx val="3"/>
              <c:layout>
                <c:manualLayout>
                  <c:x val="8.0321234341312123E-3"/>
                  <c:y val="-9.3896736755692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7CC-4837-A7AF-20A7DD3ECA2F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34259875</c:v>
                </c:pt>
                <c:pt idx="1">
                  <c:v>117247</c:v>
                </c:pt>
                <c:pt idx="2">
                  <c:v>24988070</c:v>
                </c:pt>
                <c:pt idx="3">
                  <c:v>17566958</c:v>
                </c:pt>
                <c:pt idx="4">
                  <c:v>1076121</c:v>
                </c:pt>
                <c:pt idx="5">
                  <c:v>8502754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7CC-4837-A7AF-20A7DD3ECA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4274688"/>
        <c:axId val="54301056"/>
        <c:axId val="0"/>
      </c:bar3DChart>
      <c:catAx>
        <c:axId val="54274688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301056"/>
        <c:crossesAt val="0"/>
        <c:auto val="0"/>
        <c:lblAlgn val="ctr"/>
        <c:lblOffset val="100"/>
        <c:noMultiLvlLbl val="0"/>
      </c:catAx>
      <c:valAx>
        <c:axId val="5430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274688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hr-HR" sz="1200" i="1"/>
              <a:t>PLANIRANI I OSTVARENI VLASTITI I</a:t>
            </a:r>
            <a:r>
              <a:rPr lang="hr-HR" sz="1200" i="1" baseline="0"/>
              <a:t> OSTALI</a:t>
            </a:r>
            <a:r>
              <a:rPr lang="hr-HR" sz="1200" i="1"/>
              <a:t> PRIHODI USTANOVA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rgbClr val="7A8C8E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0"/>
              <c:layout>
                <c:manualLayout>
                  <c:x val="0"/>
                  <c:y val="-8.51426138782460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31-492C-B232-934C48A11EA4}"/>
                </c:ext>
              </c:extLst>
            </c:dLbl>
            <c:dLbl>
              <c:idx val="1"/>
              <c:layout>
                <c:manualLayout>
                  <c:x val="0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31-492C-B232-934C48A11EA4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188300</c:v>
                </c:pt>
                <c:pt idx="1">
                  <c:v>142000</c:v>
                </c:pt>
                <c:pt idx="2">
                  <c:v>1116116</c:v>
                </c:pt>
                <c:pt idx="3">
                  <c:v>368000</c:v>
                </c:pt>
                <c:pt idx="4">
                  <c:v>176960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31-492C-B232-934C48A11EA4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rgbClr val="58B6C0">
                <a:lumMod val="60000"/>
                <a:lumOff val="40000"/>
              </a:srgbClr>
            </a:solidFill>
            <a:ln>
              <a:solidFill>
                <a:srgbClr val="75BDA7">
                  <a:lumMod val="75000"/>
                </a:srgbClr>
              </a:solidFill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0"/>
              <c:layout>
                <c:manualLayout>
                  <c:x val="6.6261002087221564E-6"/>
                  <c:y val="-1.2157963013244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31-492C-B232-934C48A11EA4}"/>
                </c:ext>
              </c:extLst>
            </c:dLbl>
            <c:dLbl>
              <c:idx val="1"/>
              <c:layout>
                <c:manualLayout>
                  <c:x val="-2.3309148067571926E-3"/>
                  <c:y val="-4.25746590105355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31-492C-B232-934C48A11EA4}"/>
                </c:ext>
              </c:extLst>
            </c:dLbl>
            <c:dLbl>
              <c:idx val="2"/>
              <c:layout>
                <c:manualLayout>
                  <c:x val="2.3487684656528732E-3"/>
                  <c:y val="-1.6210617350992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31-492C-B232-934C48A11EA4}"/>
                </c:ext>
              </c:extLst>
            </c:dLbl>
            <c:dLbl>
              <c:idx val="3"/>
              <c:layout>
                <c:manualLayout>
                  <c:x val="4.6831803808535157E-3"/>
                  <c:y val="-1.215863342752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31-492C-B232-934C48A11EA4}"/>
                </c:ext>
              </c:extLst>
            </c:dLbl>
            <c:dLbl>
              <c:idx val="4"/>
              <c:layout>
                <c:manualLayout>
                  <c:x val="4.6800513890882852E-3"/>
                  <c:y val="2.0447635616425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31-492C-B232-934C48A11EA4}"/>
                </c:ext>
              </c:extLst>
            </c:dLbl>
            <c:numFmt formatCode="###" sourceLinked="0"/>
            <c:spPr>
              <a:noFill/>
              <a:scene3d>
                <a:camera prst="orthographicFront"/>
                <a:lightRig rig="threePt" dir="t"/>
              </a:scene3d>
              <a:sp3d>
                <a:bevelB prst="angle"/>
              </a:sp3d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201094</c:v>
                </c:pt>
                <c:pt idx="1">
                  <c:v>146108</c:v>
                </c:pt>
                <c:pt idx="2">
                  <c:v>1041643</c:v>
                </c:pt>
                <c:pt idx="3">
                  <c:v>394946</c:v>
                </c:pt>
                <c:pt idx="4">
                  <c:v>249161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31-492C-B232-934C48A11E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3"/>
        <c:gapDepth val="263"/>
        <c:shape val="box"/>
        <c:axId val="56017280"/>
        <c:axId val="56018816"/>
        <c:axId val="0"/>
      </c:bar3DChart>
      <c:catAx>
        <c:axId val="56017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56018816"/>
        <c:crosses val="autoZero"/>
        <c:auto val="1"/>
        <c:lblAlgn val="ctr"/>
        <c:lblOffset val="100"/>
        <c:noMultiLvlLbl val="0"/>
      </c:catAx>
      <c:valAx>
        <c:axId val="5601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sr-Latn-RS"/>
          </a:p>
        </c:txPr>
        <c:crossAx val="56017280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scene3d>
          <a:camera prst="orthographicFront"/>
          <a:lightRig rig="threePt" dir="t"/>
        </a:scene3d>
        <a:sp3d/>
      </c:spPr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PRIHODI</a:t>
            </a:r>
            <a:r>
              <a:rPr lang="hr-HR" sz="1200" i="1"/>
              <a:t> i primici</a:t>
            </a:r>
            <a:r>
              <a:rPr lang="en-US" sz="1200" i="1"/>
              <a:t> PRORAČUNA</a:t>
            </a:r>
            <a:r>
              <a:rPr lang="hr-HR" sz="1200" i="1"/>
              <a:t> PO SKUPINAMA</a:t>
            </a:r>
            <a:endParaRPr lang="en-US" sz="1200" i="1"/>
          </a:p>
        </c:rich>
      </c:tx>
      <c:layout>
        <c:manualLayout>
          <c:xMode val="edge"/>
          <c:yMode val="edge"/>
          <c:x val="0.16101684042288011"/>
          <c:y val="5.10639378202825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45"/>
      <c:depthPercent val="9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06506118014864E-2"/>
          <c:y val="0.26710716479588986"/>
          <c:w val="0.83385954377687066"/>
          <c:h val="0.73038521455025973"/>
        </c:manualLayout>
      </c:layout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39C-48ED-A235-B95AD1FE5D6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39C-48ED-A235-B95AD1FE5D6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39C-48ED-A235-B95AD1FE5D62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39C-48ED-A235-B95AD1FE5D62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39C-48ED-A235-B95AD1FE5D62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39C-48ED-A235-B95AD1FE5D62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839C-48ED-A235-B95AD1FE5D62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839C-48ED-A235-B95AD1FE5D62}"/>
              </c:ext>
            </c:extLst>
          </c:dPt>
          <c:dLbls>
            <c:dLbl>
              <c:idx val="0"/>
              <c:layout>
                <c:manualLayout>
                  <c:x val="-8.6621504714145365E-4"/>
                  <c:y val="0.115795557753218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9C-48ED-A235-B95AD1FE5D62}"/>
                </c:ext>
              </c:extLst>
            </c:dLbl>
            <c:dLbl>
              <c:idx val="1"/>
              <c:layout>
                <c:manualLayout>
                  <c:x val="1.3252691239681908E-2"/>
                  <c:y val="-6.046115931944899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9C-48ED-A235-B95AD1FE5D62}"/>
                </c:ext>
              </c:extLst>
            </c:dLbl>
            <c:dLbl>
              <c:idx val="2"/>
              <c:layout>
                <c:manualLayout>
                  <c:x val="6.9832402234636867E-3"/>
                  <c:y val="6.7053547903332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9C-48ED-A235-B95AD1FE5D62}"/>
                </c:ext>
              </c:extLst>
            </c:dLbl>
            <c:dLbl>
              <c:idx val="3"/>
              <c:layout>
                <c:manualLayout>
                  <c:x val="-1.5922612847997182E-2"/>
                  <c:y val="2.91702813105660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9C-48ED-A235-B95AD1FE5D62}"/>
                </c:ext>
              </c:extLst>
            </c:dLbl>
            <c:dLbl>
              <c:idx val="4"/>
              <c:layout>
                <c:manualLayout>
                  <c:x val="-0.10418572852974384"/>
                  <c:y val="1.31637263049626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9C-48ED-A235-B95AD1FE5D62}"/>
                </c:ext>
              </c:extLst>
            </c:dLbl>
            <c:dLbl>
              <c:idx val="5"/>
              <c:layout>
                <c:manualLayout>
                  <c:x val="-1.4107611548556643E-3"/>
                  <c:y val="-5.7842061683375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9C-48ED-A235-B95AD1FE5D62}"/>
                </c:ext>
              </c:extLst>
            </c:dLbl>
            <c:dLbl>
              <c:idx val="6"/>
              <c:layout>
                <c:manualLayout>
                  <c:x val="0.17438672121292093"/>
                  <c:y val="-1.16902032674897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9C-48ED-A235-B95AD1FE5D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11920132</c:v>
                </c:pt>
                <c:pt idx="1">
                  <c:v>8822343</c:v>
                </c:pt>
                <c:pt idx="2">
                  <c:v>4764406</c:v>
                </c:pt>
                <c:pt idx="3">
                  <c:v>7702625</c:v>
                </c:pt>
                <c:pt idx="4">
                  <c:v>798310</c:v>
                </c:pt>
                <c:pt idx="5">
                  <c:v>252058</c:v>
                </c:pt>
                <c:pt idx="6">
                  <c:v>117247</c:v>
                </c:pt>
                <c:pt idx="7">
                  <c:v>8502754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39C-48ED-A235-B95AD1FE5D6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>
      <a:softEdge rad="0"/>
    </a:effectLst>
    <a:scene3d>
      <a:camera prst="orthographicFront"/>
      <a:lightRig rig="threePt" dir="t"/>
    </a:scene3d>
    <a:sp3d>
      <a:bevelT w="0" h="82550"/>
    </a:sp3d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layout>
        <c:manualLayout>
          <c:xMode val="edge"/>
          <c:yMode val="edge"/>
          <c:x val="0.22245986474721913"/>
          <c:y val="3.042403498764023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8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6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77F-4A9B-A2E1-5B1D884AEB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77F-4A9B-A2E1-5B1D884AEB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77F-4A9B-A2E1-5B1D884AEB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77F-4A9B-A2E1-5B1D884AEB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77F-4A9B-A2E1-5B1D884AEB8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77F-4A9B-A2E1-5B1D884AEB8A}"/>
              </c:ext>
            </c:extLst>
          </c:dPt>
          <c:dLbls>
            <c:dLbl>
              <c:idx val="1"/>
              <c:layout>
                <c:manualLayout>
                  <c:x val="-3.9496211175686609E-3"/>
                  <c:y val="-0.130389149160120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7F-4A9B-A2E1-5B1D884AEB8A}"/>
                </c:ext>
              </c:extLst>
            </c:dLbl>
            <c:dLbl>
              <c:idx val="2"/>
              <c:layout>
                <c:manualLayout>
                  <c:x val="4.7656891549920661E-3"/>
                  <c:y val="-4.3270404091673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7F-4A9B-A2E1-5B1D884AEB8A}"/>
                </c:ext>
              </c:extLst>
            </c:dLbl>
            <c:dLbl>
              <c:idx val="3"/>
              <c:layout>
                <c:manualLayout>
                  <c:x val="2.8101953817887696E-3"/>
                  <c:y val="-2.40272019619909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7F-4A9B-A2E1-5B1D884AEB8A}"/>
                </c:ext>
              </c:extLst>
            </c:dLbl>
            <c:dLbl>
              <c:idx val="4"/>
              <c:layout>
                <c:manualLayout>
                  <c:x val="-8.9615772375938995E-3"/>
                  <c:y val="-2.281802624073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7F-4A9B-A2E1-5B1D884AEB8A}"/>
                </c:ext>
              </c:extLst>
            </c:dLbl>
            <c:dLbl>
              <c:idx val="5"/>
              <c:layout>
                <c:manualLayout>
                  <c:x val="-5.0505050505050509E-3"/>
                  <c:y val="-1.2618300709009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7F-4A9B-A2E1-5B1D884AEB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34938001</c:v>
                </c:pt>
                <c:pt idx="1">
                  <c:v>975385</c:v>
                </c:pt>
                <c:pt idx="2">
                  <c:v>725543</c:v>
                </c:pt>
                <c:pt idx="3">
                  <c:v>3874432</c:v>
                </c:pt>
                <c:pt idx="4">
                  <c:v>1053406</c:v>
                </c:pt>
                <c:pt idx="5">
                  <c:v>2064381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7F-4A9B-A2E1-5B1D884AEB8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RASHODI I IZDACI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27000" h="127000"/>
              <a:bevelB w="127000" h="127000" prst="coolSlant"/>
            </a:sp3d>
          </c:spPr>
          <c:explosion val="1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1-9B35-4CBA-BC69-662BA069D55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3-9B35-4CBA-BC69-662BA069D55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5-9B35-4CBA-BC69-662BA069D55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7-9B35-4CBA-BC69-662BA069D553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9-9B35-4CBA-BC69-662BA069D553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B-9B35-4CBA-BC69-662BA069D553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D-9B35-4CBA-BC69-662BA069D553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F-9B35-4CBA-BC69-662BA069D553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11-9B35-4CBA-BC69-662BA069D553}"/>
              </c:ext>
            </c:extLst>
          </c:dPt>
          <c:dLbls>
            <c:dLbl>
              <c:idx val="0"/>
              <c:layout>
                <c:manualLayout>
                  <c:x val="-2.0512823826016368E-3"/>
                  <c:y val="3.50039777247414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35-4CBA-BC69-662BA069D553}"/>
                </c:ext>
              </c:extLst>
            </c:dLbl>
            <c:dLbl>
              <c:idx val="1"/>
              <c:layout>
                <c:manualLayout>
                  <c:x val="0"/>
                  <c:y val="-2.17786380521050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35-4CBA-BC69-662BA069D553}"/>
                </c:ext>
              </c:extLst>
            </c:dLbl>
            <c:dLbl>
              <c:idx val="2"/>
              <c:layout>
                <c:manualLayout>
                  <c:x val="8.1207871225781617E-2"/>
                  <c:y val="-5.5519766473105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35-4CBA-BC69-662BA069D553}"/>
                </c:ext>
              </c:extLst>
            </c:dLbl>
            <c:dLbl>
              <c:idx val="3"/>
              <c:layout>
                <c:manualLayout>
                  <c:x val="6.5867849208876186E-2"/>
                  <c:y val="-5.253102312091773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35-4CBA-BC69-662BA069D553}"/>
                </c:ext>
              </c:extLst>
            </c:dLbl>
            <c:dLbl>
              <c:idx val="4"/>
              <c:layout>
                <c:manualLayout>
                  <c:x val="-1.0276117145345062E-2"/>
                  <c:y val="-5.5983813479162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35-4CBA-BC69-662BA069D553}"/>
                </c:ext>
              </c:extLst>
            </c:dLbl>
            <c:dLbl>
              <c:idx val="5"/>
              <c:layout>
                <c:manualLayout>
                  <c:x val="-0.13782096344845149"/>
                  <c:y val="2.9717250652856704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35-4CBA-BC69-662BA069D553}"/>
                </c:ext>
              </c:extLst>
            </c:dLbl>
            <c:dLbl>
              <c:idx val="6"/>
              <c:layout>
                <c:manualLayout>
                  <c:x val="-3.0828522613854145E-2"/>
                  <c:y val="-2.63076065372497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35-4CBA-BC69-662BA069D553}"/>
                </c:ext>
              </c:extLst>
            </c:dLbl>
            <c:dLbl>
              <c:idx val="7"/>
              <c:layout>
                <c:manualLayout>
                  <c:x val="4.8788235915105893E-2"/>
                  <c:y val="-5.99525738015779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35-4CBA-BC69-662BA069D553}"/>
                </c:ext>
              </c:extLst>
            </c:dLbl>
            <c:dLbl>
              <c:idx val="8"/>
              <c:layout>
                <c:manualLayout>
                  <c:x val="9.6812456361970639E-2"/>
                  <c:y val="1.74466800024381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6722745987943"/>
                      <c:h val="0.114415399745676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9B35-4CBA-BC69-662BA069D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Sheet2!$A$1:$A$9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Naknade građanima i kućanstvima</c:v>
                </c:pt>
                <c:pt idx="6">
                  <c:v>Ostali rashodi i donacije</c:v>
                </c:pt>
                <c:pt idx="7">
                  <c:v>Rashodi za nabavu nefinanc.imovine</c:v>
                </c:pt>
                <c:pt idx="8">
                  <c:v>Izdaci za otplate zajmova</c:v>
                </c:pt>
              </c:strCache>
            </c:strRef>
          </c:cat>
          <c:val>
            <c:numRef>
              <c:f>Sheet2!$B$1:$B$9</c:f>
              <c:numCache>
                <c:formatCode>General</c:formatCode>
                <c:ptCount val="9"/>
                <c:pt idx="0">
                  <c:v>8645556</c:v>
                </c:pt>
                <c:pt idx="1">
                  <c:v>9995952</c:v>
                </c:pt>
                <c:pt idx="2">
                  <c:v>300624</c:v>
                </c:pt>
                <c:pt idx="3">
                  <c:v>0</c:v>
                </c:pt>
                <c:pt idx="4">
                  <c:v>800559</c:v>
                </c:pt>
                <c:pt idx="5">
                  <c:v>671091</c:v>
                </c:pt>
                <c:pt idx="6">
                  <c:v>4574287</c:v>
                </c:pt>
                <c:pt idx="7">
                  <c:v>17566958</c:v>
                </c:pt>
                <c:pt idx="8">
                  <c:v>1076121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B35-4CBA-BC69-662BA069D55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j-ea"/>
                <a:cs typeface="+mj-cs"/>
              </a:defRPr>
            </a:pPr>
            <a:r>
              <a:rPr lang="hr-HR" sz="1400" b="1" i="1">
                <a:latin typeface="+mn-lt"/>
              </a:rPr>
              <a:t>USPOREDBA IZVRŠENJA PRORAČUNA PO GODINAMA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Sheet7!$B$1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>
                <a:shade val="58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p3d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Sheet7!$A$2:$A$7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Sheet7!$B$2:$B$7</c:f>
              <c:numCache>
                <c:formatCode>General</c:formatCode>
                <c:ptCount val="6"/>
                <c:pt idx="0">
                  <c:v>28886510</c:v>
                </c:pt>
                <c:pt idx="1">
                  <c:v>231119</c:v>
                </c:pt>
                <c:pt idx="2">
                  <c:v>20407374</c:v>
                </c:pt>
                <c:pt idx="3">
                  <c:v>5080328</c:v>
                </c:pt>
                <c:pt idx="4">
                  <c:v>1390764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D-466B-8EEC-99C7B2B2623F}"/>
            </c:ext>
          </c:extLst>
        </c:ser>
        <c:ser>
          <c:idx val="1"/>
          <c:order val="1"/>
          <c:tx>
            <c:strRef>
              <c:f>Sheet7!$C$1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p3d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Sheet7!$A$2:$A$7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Sheet7!$C$2:$C$7</c:f>
              <c:numCache>
                <c:formatCode>General</c:formatCode>
                <c:ptCount val="6"/>
                <c:pt idx="0">
                  <c:v>30223482</c:v>
                </c:pt>
                <c:pt idx="1">
                  <c:v>379770</c:v>
                </c:pt>
                <c:pt idx="2">
                  <c:v>22238554</c:v>
                </c:pt>
                <c:pt idx="3">
                  <c:v>6879884</c:v>
                </c:pt>
                <c:pt idx="4">
                  <c:v>734000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ED-466B-8EEC-99C7B2B2623F}"/>
            </c:ext>
          </c:extLst>
        </c:ser>
        <c:ser>
          <c:idx val="2"/>
          <c:order val="2"/>
          <c:tx>
            <c:strRef>
              <c:f>Sheet7!$D$1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tint val="86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p3d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Sheet7!$A$2:$A$7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Sheet7!$D$2:$D$7</c:f>
              <c:numCache>
                <c:formatCode>General</c:formatCode>
                <c:ptCount val="6"/>
                <c:pt idx="0">
                  <c:v>34155660</c:v>
                </c:pt>
                <c:pt idx="1">
                  <c:v>1785944</c:v>
                </c:pt>
                <c:pt idx="2">
                  <c:v>23638753</c:v>
                </c:pt>
                <c:pt idx="3">
                  <c:v>18487391</c:v>
                </c:pt>
                <c:pt idx="4">
                  <c:v>734000</c:v>
                </c:pt>
                <c:pt idx="5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ED-466B-8EEC-99C7B2B2623F}"/>
            </c:ext>
          </c:extLst>
        </c:ser>
        <c:ser>
          <c:idx val="3"/>
          <c:order val="3"/>
          <c:tx>
            <c:strRef>
              <c:f>Sheet7!$E$1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>
                <a:tint val="58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  <a:sp3d>
              <a:contourClr>
                <a:schemeClr val="bg2">
                  <a:lumMod val="50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Sheet7!$A$2:$A$7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Sheet7!$E$2:$E$7</c:f>
              <c:numCache>
                <c:formatCode>0</c:formatCode>
                <c:ptCount val="6"/>
                <c:pt idx="0">
                  <c:v>26234443</c:v>
                </c:pt>
                <c:pt idx="1">
                  <c:v>36049</c:v>
                </c:pt>
                <c:pt idx="2">
                  <c:v>19308313</c:v>
                </c:pt>
                <c:pt idx="3">
                  <c:v>11839566</c:v>
                </c:pt>
                <c:pt idx="4">
                  <c:v>1484000</c:v>
                </c:pt>
                <c:pt idx="5">
                  <c:v>6266164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ED-466B-8EEC-99C7B2B2623F}"/>
            </c:ext>
          </c:extLst>
        </c:ser>
        <c:ser>
          <c:idx val="4"/>
          <c:order val="4"/>
          <c:tx>
            <c:strRef>
              <c:f>Sheet7!$F$1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p3d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Sheet7!$A$2:$A$7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Sheet7!$F$2:$F$7</c:f>
              <c:numCache>
                <c:formatCode>0</c:formatCode>
                <c:ptCount val="6"/>
                <c:pt idx="0">
                  <c:v>34259875</c:v>
                </c:pt>
                <c:pt idx="1">
                  <c:v>117247</c:v>
                </c:pt>
                <c:pt idx="2">
                  <c:v>24988070</c:v>
                </c:pt>
                <c:pt idx="3">
                  <c:v>17566958</c:v>
                </c:pt>
                <c:pt idx="4">
                  <c:v>1076121</c:v>
                </c:pt>
                <c:pt idx="5">
                  <c:v>8502754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ED-466B-8EEC-99C7B2B262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59"/>
        <c:shape val="box"/>
        <c:axId val="44425600"/>
        <c:axId val="44427136"/>
        <c:axId val="0"/>
      </c:bar3DChart>
      <c:catAx>
        <c:axId val="44425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427136"/>
        <c:crosses val="autoZero"/>
        <c:auto val="1"/>
        <c:lblAlgn val="ctr"/>
        <c:lblOffset val="100"/>
        <c:noMultiLvlLbl val="0"/>
      </c:catAx>
      <c:valAx>
        <c:axId val="4442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42560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4.239544410560956E-2"/>
                <c:y val="0.1557989837903393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900" b="1" i="1" u="none" strike="noStrike" kern="1200" cap="all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b="1" i="1"/>
                    <a:t>Tisuće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1" i="1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FFFFFF">
            <a:shade val="30000"/>
            <a:satMod val="115000"/>
          </a:srgbClr>
        </a:gs>
        <a:gs pos="37000">
          <a:srgbClr val="FFFFFF">
            <a:shade val="67500"/>
            <a:satMod val="115000"/>
          </a:srgbClr>
        </a:gs>
        <a:gs pos="100000">
          <a:srgbClr val="FFFFFF">
            <a:shade val="100000"/>
            <a:satMod val="115000"/>
          </a:srgbClr>
        </a:gs>
      </a:gsLst>
      <a:lin ang="13500000" scaled="1"/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636-7EEA-465A-843F-1E63EFF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btomic</dc:creator>
  <cp:keywords/>
  <dc:description/>
  <cp:lastModifiedBy>Ivana Stanišić</cp:lastModifiedBy>
  <cp:revision>2</cp:revision>
  <cp:lastPrinted>2022-05-31T12:07:00Z</cp:lastPrinted>
  <dcterms:created xsi:type="dcterms:W3CDTF">2022-08-19T09:38:00Z</dcterms:created>
  <dcterms:modified xsi:type="dcterms:W3CDTF">2022-08-19T09:38:00Z</dcterms:modified>
</cp:coreProperties>
</file>