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A8CF" w14:textId="2935FC18" w:rsidR="0050049F" w:rsidRDefault="00760997" w:rsidP="00760997">
      <w:pPr>
        <w:rPr>
          <w:rFonts w:ascii="Arial" w:hAnsi="Arial" w:cs="Arial"/>
          <w:b/>
          <w:i/>
          <w:u w:val="single"/>
        </w:rPr>
      </w:pPr>
      <w:r w:rsidRPr="00976D1A">
        <w:rPr>
          <w:rFonts w:ascii="Arial" w:hAnsi="Arial" w:cs="Arial"/>
          <w:b/>
          <w:i/>
          <w:u w:val="single"/>
        </w:rPr>
        <w:t>Obrazloženje ostvarenja prihoda i primitaka, rashoda i izdataka</w:t>
      </w:r>
    </w:p>
    <w:p w14:paraId="1714ED8D" w14:textId="47A7CE5D" w:rsidR="0071572F" w:rsidRDefault="0071572F" w:rsidP="00760997">
      <w:pPr>
        <w:rPr>
          <w:rFonts w:ascii="Arial" w:hAnsi="Arial" w:cs="Arial"/>
          <w:b/>
          <w:i/>
          <w:u w:val="single"/>
        </w:rPr>
      </w:pPr>
    </w:p>
    <w:p w14:paraId="0BA4B1AF" w14:textId="7CD67F92" w:rsidR="0071572F" w:rsidRPr="00976D1A" w:rsidRDefault="00EC5435" w:rsidP="00760997">
      <w:pPr>
        <w:rPr>
          <w:rFonts w:ascii="Arial" w:hAnsi="Arial" w:cs="Arial"/>
          <w:b/>
          <w:i/>
          <w:u w:val="single"/>
        </w:rPr>
      </w:pPr>
      <w:r>
        <w:rPr>
          <w:noProof/>
        </w:rPr>
        <w:drawing>
          <wp:inline distT="0" distB="0" distL="0" distR="0" wp14:anchorId="4BE907C3" wp14:editId="2181F303">
            <wp:extent cx="6324604" cy="4057649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55D07D" w14:textId="2A5214CC" w:rsidR="00760997" w:rsidRDefault="00760997" w:rsidP="00760997"/>
    <w:p w14:paraId="43CA6508" w14:textId="77777777" w:rsidR="00636131" w:rsidRDefault="00636131" w:rsidP="0076099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8AE013B" w14:textId="77777777" w:rsidR="00636131" w:rsidRDefault="00636131" w:rsidP="0076099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92C033C" w14:textId="4692CC22" w:rsidR="00760997" w:rsidRPr="00D07C28" w:rsidRDefault="00760997" w:rsidP="00760997">
      <w:pPr>
        <w:rPr>
          <w:rFonts w:ascii="Arial" w:hAnsi="Arial" w:cs="Arial"/>
          <w:sz w:val="20"/>
          <w:szCs w:val="20"/>
        </w:rPr>
      </w:pPr>
      <w:r w:rsidRPr="00250FF3">
        <w:rPr>
          <w:rFonts w:ascii="Arial" w:hAnsi="Arial" w:cs="Arial"/>
          <w:b/>
          <w:i/>
          <w:sz w:val="20"/>
          <w:szCs w:val="20"/>
          <w:u w:val="single"/>
        </w:rPr>
        <w:t>O prihodima i primicima</w:t>
      </w:r>
      <w:r w:rsidRPr="00D07C28">
        <w:rPr>
          <w:rFonts w:ascii="Arial" w:hAnsi="Arial" w:cs="Arial"/>
          <w:b/>
          <w:sz w:val="20"/>
          <w:szCs w:val="20"/>
        </w:rPr>
        <w:t>:</w:t>
      </w:r>
      <w:r w:rsidRPr="00D07C28">
        <w:rPr>
          <w:rFonts w:ascii="Arial" w:hAnsi="Arial" w:cs="Arial"/>
          <w:sz w:val="20"/>
          <w:szCs w:val="20"/>
        </w:rPr>
        <w:t xml:space="preserve"> </w:t>
      </w:r>
    </w:p>
    <w:p w14:paraId="1D4D1E39" w14:textId="2FB92EEC" w:rsidR="00C532E3" w:rsidRPr="000268B5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44293B">
        <w:rPr>
          <w:rFonts w:ascii="Arial" w:hAnsi="Arial" w:cs="Arial"/>
          <w:sz w:val="18"/>
          <w:szCs w:val="18"/>
        </w:rPr>
        <w:t xml:space="preserve">U ovom </w:t>
      </w:r>
      <w:r w:rsidR="00036AC9" w:rsidRPr="0044293B">
        <w:rPr>
          <w:rFonts w:ascii="Arial" w:hAnsi="Arial" w:cs="Arial"/>
          <w:sz w:val="18"/>
          <w:szCs w:val="18"/>
        </w:rPr>
        <w:t xml:space="preserve">izvještajnom </w:t>
      </w:r>
      <w:r w:rsidRPr="0044293B">
        <w:rPr>
          <w:rFonts w:ascii="Arial" w:hAnsi="Arial" w:cs="Arial"/>
          <w:sz w:val="18"/>
          <w:szCs w:val="18"/>
        </w:rPr>
        <w:t xml:space="preserve"> razdoblju ostvareni su tekući prihodi</w:t>
      </w:r>
      <w:r w:rsidR="003F6EE6" w:rsidRPr="0044293B">
        <w:rPr>
          <w:rFonts w:ascii="Arial" w:hAnsi="Arial" w:cs="Arial"/>
          <w:sz w:val="18"/>
          <w:szCs w:val="18"/>
        </w:rPr>
        <w:t xml:space="preserve"> Proračuna Grada Korčule za 20</w:t>
      </w:r>
      <w:r w:rsidR="00B66239" w:rsidRPr="0044293B">
        <w:rPr>
          <w:rFonts w:ascii="Arial" w:hAnsi="Arial" w:cs="Arial"/>
          <w:sz w:val="18"/>
          <w:szCs w:val="18"/>
        </w:rPr>
        <w:t>2</w:t>
      </w:r>
      <w:r w:rsidR="00C2147F">
        <w:rPr>
          <w:rFonts w:ascii="Arial" w:hAnsi="Arial" w:cs="Arial"/>
          <w:sz w:val="18"/>
          <w:szCs w:val="18"/>
        </w:rPr>
        <w:t>2</w:t>
      </w:r>
      <w:r w:rsidRPr="0044293B">
        <w:rPr>
          <w:rFonts w:ascii="Arial" w:hAnsi="Arial" w:cs="Arial"/>
          <w:sz w:val="18"/>
          <w:szCs w:val="18"/>
        </w:rPr>
        <w:t xml:space="preserve">. godinu (dalje u tekstu: Proračun) u iznosu od  </w:t>
      </w:r>
      <w:r w:rsidR="00C2147F">
        <w:rPr>
          <w:rFonts w:ascii="Arial" w:hAnsi="Arial" w:cs="Arial"/>
          <w:sz w:val="18"/>
          <w:szCs w:val="18"/>
        </w:rPr>
        <w:t>19.</w:t>
      </w:r>
      <w:r w:rsidR="002C645F">
        <w:rPr>
          <w:rFonts w:ascii="Arial" w:hAnsi="Arial" w:cs="Arial"/>
          <w:sz w:val="18"/>
          <w:szCs w:val="18"/>
        </w:rPr>
        <w:t>240.974</w:t>
      </w:r>
      <w:r w:rsidR="00F32D8B" w:rsidRPr="0044293B">
        <w:rPr>
          <w:rFonts w:ascii="Arial" w:hAnsi="Arial" w:cs="Arial"/>
          <w:sz w:val="18"/>
          <w:szCs w:val="18"/>
        </w:rPr>
        <w:t xml:space="preserve"> kn</w:t>
      </w:r>
      <w:r w:rsidR="002E1181" w:rsidRPr="0044293B">
        <w:rPr>
          <w:rFonts w:ascii="Arial" w:hAnsi="Arial" w:cs="Arial"/>
          <w:sz w:val="18"/>
          <w:szCs w:val="18"/>
        </w:rPr>
        <w:t xml:space="preserve">  ili  </w:t>
      </w:r>
      <w:r w:rsidR="002C645F">
        <w:rPr>
          <w:rFonts w:ascii="Arial" w:hAnsi="Arial" w:cs="Arial"/>
          <w:sz w:val="18"/>
          <w:szCs w:val="18"/>
        </w:rPr>
        <w:t>26</w:t>
      </w:r>
      <w:r w:rsidR="00B66239" w:rsidRPr="0044293B">
        <w:rPr>
          <w:rFonts w:ascii="Arial" w:hAnsi="Arial" w:cs="Arial"/>
          <w:sz w:val="18"/>
          <w:szCs w:val="18"/>
        </w:rPr>
        <w:t>%  u odnosu na plan</w:t>
      </w:r>
      <w:r w:rsidR="00470816">
        <w:rPr>
          <w:rFonts w:ascii="Arial" w:hAnsi="Arial" w:cs="Arial"/>
          <w:sz w:val="18"/>
          <w:szCs w:val="18"/>
        </w:rPr>
        <w:t>,</w:t>
      </w:r>
      <w:r w:rsidR="00B66239" w:rsidRPr="0044293B">
        <w:rPr>
          <w:rFonts w:ascii="Arial" w:hAnsi="Arial" w:cs="Arial"/>
          <w:sz w:val="18"/>
          <w:szCs w:val="18"/>
        </w:rPr>
        <w:t xml:space="preserve"> a </w:t>
      </w:r>
      <w:r w:rsidR="002C645F">
        <w:rPr>
          <w:rFonts w:ascii="Arial" w:hAnsi="Arial" w:cs="Arial"/>
          <w:sz w:val="18"/>
          <w:szCs w:val="18"/>
        </w:rPr>
        <w:t>43</w:t>
      </w:r>
      <w:r w:rsidRPr="0044293B">
        <w:rPr>
          <w:rFonts w:ascii="Arial" w:hAnsi="Arial" w:cs="Arial"/>
          <w:sz w:val="18"/>
          <w:szCs w:val="18"/>
        </w:rPr>
        <w:t xml:space="preserve">%  </w:t>
      </w:r>
      <w:r w:rsidR="0055159B" w:rsidRPr="0044293B">
        <w:rPr>
          <w:rFonts w:ascii="Arial" w:hAnsi="Arial" w:cs="Arial"/>
          <w:sz w:val="18"/>
          <w:szCs w:val="18"/>
        </w:rPr>
        <w:t>više</w:t>
      </w:r>
      <w:r w:rsidRPr="0044293B">
        <w:rPr>
          <w:rFonts w:ascii="Arial" w:hAnsi="Arial" w:cs="Arial"/>
          <w:sz w:val="18"/>
          <w:szCs w:val="18"/>
        </w:rPr>
        <w:t xml:space="preserve">  nego u istom razdoblju 20</w:t>
      </w:r>
      <w:r w:rsidR="0055159B" w:rsidRPr="0044293B">
        <w:rPr>
          <w:rFonts w:ascii="Arial" w:hAnsi="Arial" w:cs="Arial"/>
          <w:sz w:val="18"/>
          <w:szCs w:val="18"/>
        </w:rPr>
        <w:t>2</w:t>
      </w:r>
      <w:r w:rsidR="002C645F">
        <w:rPr>
          <w:rFonts w:ascii="Arial" w:hAnsi="Arial" w:cs="Arial"/>
          <w:sz w:val="18"/>
          <w:szCs w:val="18"/>
        </w:rPr>
        <w:t>1</w:t>
      </w:r>
      <w:r w:rsidRPr="0044293B">
        <w:rPr>
          <w:rFonts w:ascii="Arial" w:hAnsi="Arial" w:cs="Arial"/>
          <w:sz w:val="18"/>
          <w:szCs w:val="18"/>
        </w:rPr>
        <w:t xml:space="preserve">. godine. </w:t>
      </w:r>
      <w:r w:rsidRPr="000268B5">
        <w:rPr>
          <w:rFonts w:ascii="Arial" w:hAnsi="Arial" w:cs="Arial"/>
          <w:sz w:val="18"/>
          <w:szCs w:val="18"/>
        </w:rPr>
        <w:t xml:space="preserve">Ukoliko iz razmatranja izuzmemo ukupne prihode korisnika Proračuna, ostvareni su prihodi Proračuna  od </w:t>
      </w:r>
      <w:r w:rsidR="000268B5" w:rsidRPr="000268B5">
        <w:rPr>
          <w:rFonts w:ascii="Arial" w:hAnsi="Arial" w:cs="Arial"/>
          <w:sz w:val="18"/>
          <w:szCs w:val="18"/>
        </w:rPr>
        <w:t>18.098.595</w:t>
      </w:r>
      <w:r w:rsidRPr="000268B5">
        <w:rPr>
          <w:rFonts w:ascii="Arial" w:hAnsi="Arial" w:cs="Arial"/>
          <w:sz w:val="18"/>
          <w:szCs w:val="18"/>
        </w:rPr>
        <w:t xml:space="preserve"> kn ili </w:t>
      </w:r>
      <w:r w:rsidR="00BA2E8F" w:rsidRPr="000268B5">
        <w:rPr>
          <w:rFonts w:ascii="Arial" w:hAnsi="Arial" w:cs="Arial"/>
          <w:sz w:val="18"/>
          <w:szCs w:val="18"/>
        </w:rPr>
        <w:t>2</w:t>
      </w:r>
      <w:r w:rsidR="000268B5" w:rsidRPr="000268B5">
        <w:rPr>
          <w:rFonts w:ascii="Arial" w:hAnsi="Arial" w:cs="Arial"/>
          <w:sz w:val="18"/>
          <w:szCs w:val="18"/>
        </w:rPr>
        <w:t>5</w:t>
      </w:r>
      <w:r w:rsidR="00170CAB" w:rsidRPr="000268B5">
        <w:rPr>
          <w:rFonts w:ascii="Arial" w:hAnsi="Arial" w:cs="Arial"/>
          <w:sz w:val="18"/>
          <w:szCs w:val="18"/>
        </w:rPr>
        <w:t>%</w:t>
      </w:r>
      <w:r w:rsidRPr="000268B5">
        <w:rPr>
          <w:rFonts w:ascii="Arial" w:hAnsi="Arial" w:cs="Arial"/>
          <w:sz w:val="18"/>
          <w:szCs w:val="18"/>
        </w:rPr>
        <w:t xml:space="preserve"> od planiranog</w:t>
      </w:r>
      <w:r w:rsidR="000268B5" w:rsidRPr="000268B5">
        <w:rPr>
          <w:rFonts w:ascii="Arial" w:hAnsi="Arial" w:cs="Arial"/>
          <w:sz w:val="18"/>
          <w:szCs w:val="18"/>
        </w:rPr>
        <w:t>,</w:t>
      </w:r>
      <w:r w:rsidRPr="000268B5">
        <w:rPr>
          <w:rFonts w:ascii="Arial" w:hAnsi="Arial" w:cs="Arial"/>
          <w:sz w:val="18"/>
          <w:szCs w:val="18"/>
        </w:rPr>
        <w:t xml:space="preserve"> a ukoliko izuzmemo  još i pomoći (skupina 63), prihodi su ostvareni u iznosu od </w:t>
      </w:r>
      <w:r w:rsidR="000268B5" w:rsidRPr="000268B5">
        <w:rPr>
          <w:rFonts w:ascii="Arial" w:hAnsi="Arial" w:cs="Arial"/>
          <w:sz w:val="18"/>
          <w:szCs w:val="18"/>
        </w:rPr>
        <w:t>12.053.064</w:t>
      </w:r>
      <w:r w:rsidR="001460CC" w:rsidRPr="000268B5">
        <w:rPr>
          <w:rFonts w:ascii="Arial" w:hAnsi="Arial" w:cs="Arial"/>
          <w:sz w:val="18"/>
          <w:szCs w:val="18"/>
        </w:rPr>
        <w:t xml:space="preserve"> kn</w:t>
      </w:r>
      <w:r w:rsidR="00003FEF" w:rsidRPr="000268B5">
        <w:rPr>
          <w:rFonts w:ascii="Arial" w:hAnsi="Arial" w:cs="Arial"/>
          <w:sz w:val="18"/>
          <w:szCs w:val="18"/>
        </w:rPr>
        <w:t xml:space="preserve"> ili 2</w:t>
      </w:r>
      <w:r w:rsidR="000268B5" w:rsidRPr="000268B5">
        <w:rPr>
          <w:rFonts w:ascii="Arial" w:hAnsi="Arial" w:cs="Arial"/>
          <w:sz w:val="18"/>
          <w:szCs w:val="18"/>
        </w:rPr>
        <w:t>6</w:t>
      </w:r>
      <w:r w:rsidRPr="000268B5">
        <w:rPr>
          <w:rFonts w:ascii="Arial" w:hAnsi="Arial" w:cs="Arial"/>
          <w:sz w:val="18"/>
          <w:szCs w:val="18"/>
        </w:rPr>
        <w:t>% u odnosu na plan.</w:t>
      </w:r>
    </w:p>
    <w:p w14:paraId="05CD8451" w14:textId="0D6AAE79" w:rsidR="00C532E3" w:rsidRPr="00C532E3" w:rsidRDefault="00C532E3" w:rsidP="00760997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0B416E5" wp14:editId="7C9285D2">
            <wp:extent cx="7534276" cy="3838575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1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EDCB7F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3CAE2FD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E0657F8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27ECE72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BAEA4F0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ADE41C4" w14:textId="71093377" w:rsidR="00760997" w:rsidRPr="005B5A0D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44293B">
        <w:rPr>
          <w:rFonts w:ascii="Arial" w:hAnsi="Arial" w:cs="Arial"/>
          <w:b/>
          <w:sz w:val="18"/>
          <w:szCs w:val="18"/>
          <w:u w:val="single"/>
        </w:rPr>
        <w:t>Prihodi poslovanja</w:t>
      </w:r>
      <w:r w:rsidRPr="0044293B">
        <w:rPr>
          <w:rFonts w:ascii="Arial" w:hAnsi="Arial" w:cs="Arial"/>
          <w:b/>
          <w:sz w:val="18"/>
          <w:szCs w:val="18"/>
        </w:rPr>
        <w:t xml:space="preserve">  (razred 6</w:t>
      </w:r>
      <w:r w:rsidRPr="0044293B">
        <w:rPr>
          <w:rFonts w:ascii="Arial" w:hAnsi="Arial" w:cs="Arial"/>
          <w:sz w:val="18"/>
          <w:szCs w:val="18"/>
        </w:rPr>
        <w:t xml:space="preserve">) ostvareni su u iznosu od </w:t>
      </w:r>
      <w:r w:rsidR="00470816">
        <w:rPr>
          <w:rFonts w:ascii="Arial" w:hAnsi="Arial" w:cs="Arial"/>
          <w:sz w:val="18"/>
          <w:szCs w:val="18"/>
        </w:rPr>
        <w:t>19.220.591</w:t>
      </w:r>
      <w:r w:rsidR="00735916" w:rsidRPr="0044293B">
        <w:rPr>
          <w:rFonts w:ascii="Arial" w:hAnsi="Arial" w:cs="Arial"/>
          <w:sz w:val="18"/>
          <w:szCs w:val="18"/>
        </w:rPr>
        <w:t xml:space="preserve"> </w:t>
      </w:r>
      <w:r w:rsidR="00F06AD4" w:rsidRPr="0044293B">
        <w:rPr>
          <w:rFonts w:ascii="Arial" w:hAnsi="Arial" w:cs="Arial"/>
          <w:sz w:val="18"/>
          <w:szCs w:val="18"/>
        </w:rPr>
        <w:t>kn</w:t>
      </w:r>
      <w:r w:rsidRPr="0044293B">
        <w:rPr>
          <w:rFonts w:ascii="Arial" w:hAnsi="Arial" w:cs="Arial"/>
          <w:sz w:val="18"/>
          <w:szCs w:val="18"/>
        </w:rPr>
        <w:t xml:space="preserve"> ili 2</w:t>
      </w:r>
      <w:r w:rsidR="00470816">
        <w:rPr>
          <w:rFonts w:ascii="Arial" w:hAnsi="Arial" w:cs="Arial"/>
          <w:sz w:val="18"/>
          <w:szCs w:val="18"/>
        </w:rPr>
        <w:t>7</w:t>
      </w:r>
      <w:r w:rsidRPr="0044293B">
        <w:rPr>
          <w:rFonts w:ascii="Arial" w:hAnsi="Arial" w:cs="Arial"/>
          <w:sz w:val="18"/>
          <w:szCs w:val="18"/>
        </w:rPr>
        <w:t>% od planiranog. U odnosu na isto razdoblje 20</w:t>
      </w:r>
      <w:r w:rsidR="0055159B" w:rsidRPr="0044293B">
        <w:rPr>
          <w:rFonts w:ascii="Arial" w:hAnsi="Arial" w:cs="Arial"/>
          <w:sz w:val="18"/>
          <w:szCs w:val="18"/>
        </w:rPr>
        <w:t>2</w:t>
      </w:r>
      <w:r w:rsidR="00470816">
        <w:rPr>
          <w:rFonts w:ascii="Arial" w:hAnsi="Arial" w:cs="Arial"/>
          <w:sz w:val="18"/>
          <w:szCs w:val="18"/>
        </w:rPr>
        <w:t>1</w:t>
      </w:r>
      <w:r w:rsidR="008132DA" w:rsidRPr="0044293B">
        <w:rPr>
          <w:rFonts w:ascii="Arial" w:hAnsi="Arial" w:cs="Arial"/>
          <w:sz w:val="18"/>
          <w:szCs w:val="18"/>
        </w:rPr>
        <w:t xml:space="preserve">.godine ovi prihodi su </w:t>
      </w:r>
      <w:r w:rsidR="00470816">
        <w:rPr>
          <w:rFonts w:ascii="Arial" w:hAnsi="Arial" w:cs="Arial"/>
          <w:sz w:val="18"/>
          <w:szCs w:val="18"/>
        </w:rPr>
        <w:t>43</w:t>
      </w:r>
      <w:r w:rsidRPr="0044293B">
        <w:rPr>
          <w:rFonts w:ascii="Arial" w:hAnsi="Arial" w:cs="Arial"/>
          <w:sz w:val="18"/>
          <w:szCs w:val="18"/>
        </w:rPr>
        <w:t xml:space="preserve">% </w:t>
      </w:r>
      <w:r w:rsidR="0055159B" w:rsidRPr="0044293B">
        <w:rPr>
          <w:rFonts w:ascii="Arial" w:hAnsi="Arial" w:cs="Arial"/>
          <w:sz w:val="18"/>
          <w:szCs w:val="18"/>
        </w:rPr>
        <w:t>veći</w:t>
      </w:r>
      <w:r w:rsidRPr="0044293B">
        <w:rPr>
          <w:rFonts w:ascii="Arial" w:hAnsi="Arial" w:cs="Arial"/>
          <w:sz w:val="18"/>
          <w:szCs w:val="18"/>
        </w:rPr>
        <w:t xml:space="preserve">. </w:t>
      </w:r>
      <w:r w:rsidRPr="005B5A0D">
        <w:rPr>
          <w:rFonts w:ascii="Arial" w:hAnsi="Arial" w:cs="Arial"/>
          <w:sz w:val="18"/>
          <w:szCs w:val="18"/>
        </w:rPr>
        <w:t xml:space="preserve">Ukoliko iz razmatranja izuzmemo prihode korisnika Proračuna ostvarenje je </w:t>
      </w:r>
      <w:r w:rsidR="000268B5" w:rsidRPr="005B5A0D">
        <w:rPr>
          <w:rFonts w:ascii="Arial" w:hAnsi="Arial" w:cs="Arial"/>
          <w:sz w:val="18"/>
          <w:szCs w:val="18"/>
        </w:rPr>
        <w:t>18.078.212</w:t>
      </w:r>
      <w:r w:rsidR="00F06AD4" w:rsidRPr="005B5A0D">
        <w:rPr>
          <w:rFonts w:ascii="Arial" w:hAnsi="Arial" w:cs="Arial"/>
          <w:sz w:val="18"/>
          <w:szCs w:val="18"/>
        </w:rPr>
        <w:t xml:space="preserve"> kn</w:t>
      </w:r>
      <w:r w:rsidR="00E364D7" w:rsidRPr="005B5A0D">
        <w:rPr>
          <w:rFonts w:ascii="Arial" w:hAnsi="Arial" w:cs="Arial"/>
          <w:sz w:val="18"/>
          <w:szCs w:val="18"/>
        </w:rPr>
        <w:t xml:space="preserve"> ili </w:t>
      </w:r>
      <w:r w:rsidR="00FA6CCB" w:rsidRPr="005B5A0D">
        <w:rPr>
          <w:rFonts w:ascii="Arial" w:hAnsi="Arial" w:cs="Arial"/>
          <w:sz w:val="18"/>
          <w:szCs w:val="18"/>
        </w:rPr>
        <w:t>2</w:t>
      </w:r>
      <w:r w:rsidR="000268B5" w:rsidRPr="005B5A0D">
        <w:rPr>
          <w:rFonts w:ascii="Arial" w:hAnsi="Arial" w:cs="Arial"/>
          <w:sz w:val="18"/>
          <w:szCs w:val="18"/>
        </w:rPr>
        <w:t>6</w:t>
      </w:r>
      <w:r w:rsidRPr="005B5A0D">
        <w:rPr>
          <w:rFonts w:ascii="Arial" w:hAnsi="Arial" w:cs="Arial"/>
          <w:sz w:val="18"/>
          <w:szCs w:val="18"/>
        </w:rPr>
        <w:t>% od planiranih.</w:t>
      </w:r>
    </w:p>
    <w:p w14:paraId="2B8DB9CC" w14:textId="684E618C" w:rsidR="00760997" w:rsidRPr="00250FF3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250FF3">
        <w:rPr>
          <w:rFonts w:ascii="Arial" w:hAnsi="Arial" w:cs="Arial"/>
          <w:b/>
          <w:sz w:val="18"/>
          <w:szCs w:val="18"/>
        </w:rPr>
        <w:t>Prihodi od poreza (skupina 61</w:t>
      </w:r>
      <w:r w:rsidRPr="00250FF3">
        <w:rPr>
          <w:rFonts w:ascii="Arial" w:hAnsi="Arial" w:cs="Arial"/>
          <w:sz w:val="18"/>
          <w:szCs w:val="18"/>
        </w:rPr>
        <w:t>) ostvareni su u iznosu od</w:t>
      </w:r>
      <w:r w:rsidR="00470816" w:rsidRPr="00250FF3">
        <w:rPr>
          <w:rFonts w:ascii="Arial" w:hAnsi="Arial" w:cs="Arial"/>
          <w:sz w:val="18"/>
          <w:szCs w:val="18"/>
        </w:rPr>
        <w:t xml:space="preserve"> 8.205.827</w:t>
      </w:r>
      <w:r w:rsidR="004A2232" w:rsidRPr="00250FF3">
        <w:rPr>
          <w:rFonts w:ascii="Arial" w:hAnsi="Arial" w:cs="Arial"/>
          <w:sz w:val="18"/>
          <w:szCs w:val="18"/>
        </w:rPr>
        <w:t xml:space="preserve"> kn</w:t>
      </w:r>
      <w:r w:rsidRPr="00250FF3">
        <w:rPr>
          <w:rFonts w:ascii="Arial" w:hAnsi="Arial" w:cs="Arial"/>
          <w:sz w:val="18"/>
          <w:szCs w:val="18"/>
        </w:rPr>
        <w:t xml:space="preserve"> odnosno</w:t>
      </w:r>
      <w:r w:rsidR="00B76F08" w:rsidRPr="00250FF3">
        <w:rPr>
          <w:rFonts w:ascii="Arial" w:hAnsi="Arial" w:cs="Arial"/>
          <w:sz w:val="18"/>
          <w:szCs w:val="18"/>
        </w:rPr>
        <w:t xml:space="preserve"> 54</w:t>
      </w:r>
      <w:r w:rsidRPr="00250FF3">
        <w:rPr>
          <w:rFonts w:ascii="Arial" w:hAnsi="Arial" w:cs="Arial"/>
          <w:sz w:val="18"/>
          <w:szCs w:val="18"/>
        </w:rPr>
        <w:t xml:space="preserve">% </w:t>
      </w:r>
      <w:r w:rsidR="00B76F08" w:rsidRPr="00250FF3">
        <w:rPr>
          <w:rFonts w:ascii="Arial" w:hAnsi="Arial" w:cs="Arial"/>
          <w:sz w:val="18"/>
          <w:szCs w:val="18"/>
        </w:rPr>
        <w:t>više</w:t>
      </w:r>
      <w:r w:rsidRPr="00250FF3">
        <w:rPr>
          <w:rFonts w:ascii="Arial" w:hAnsi="Arial" w:cs="Arial"/>
          <w:sz w:val="18"/>
          <w:szCs w:val="18"/>
        </w:rPr>
        <w:t xml:space="preserve"> nego u istom razdoblju prethodne godine</w:t>
      </w:r>
      <w:r w:rsidR="00B76F08" w:rsidRPr="00250FF3">
        <w:rPr>
          <w:rFonts w:ascii="Arial" w:hAnsi="Arial" w:cs="Arial"/>
          <w:sz w:val="18"/>
          <w:szCs w:val="18"/>
        </w:rPr>
        <w:t>,</w:t>
      </w:r>
      <w:r w:rsidRPr="00250FF3">
        <w:rPr>
          <w:rFonts w:ascii="Arial" w:hAnsi="Arial" w:cs="Arial"/>
          <w:sz w:val="18"/>
          <w:szCs w:val="18"/>
        </w:rPr>
        <w:t xml:space="preserve"> a </w:t>
      </w:r>
      <w:r w:rsidR="00B6714B" w:rsidRPr="00250FF3">
        <w:rPr>
          <w:rFonts w:ascii="Arial" w:hAnsi="Arial" w:cs="Arial"/>
          <w:sz w:val="18"/>
          <w:szCs w:val="18"/>
        </w:rPr>
        <w:t>62</w:t>
      </w:r>
      <w:r w:rsidRPr="00250FF3">
        <w:rPr>
          <w:rFonts w:ascii="Arial" w:hAnsi="Arial" w:cs="Arial"/>
          <w:sz w:val="18"/>
          <w:szCs w:val="18"/>
        </w:rPr>
        <w:t>% u odnosu na plan.</w:t>
      </w:r>
    </w:p>
    <w:p w14:paraId="771D866C" w14:textId="2B6D0FB2" w:rsidR="0050049F" w:rsidRPr="00250FF3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250FF3">
        <w:rPr>
          <w:rFonts w:ascii="Arial" w:hAnsi="Arial" w:cs="Arial"/>
          <w:b/>
          <w:sz w:val="18"/>
          <w:szCs w:val="18"/>
        </w:rPr>
        <w:t>Gradski porezi (dio skupine 61</w:t>
      </w:r>
      <w:r w:rsidR="00994228" w:rsidRPr="00250FF3">
        <w:rPr>
          <w:rFonts w:ascii="Arial" w:hAnsi="Arial" w:cs="Arial"/>
          <w:b/>
          <w:sz w:val="18"/>
          <w:szCs w:val="18"/>
        </w:rPr>
        <w:t>)</w:t>
      </w:r>
      <w:r w:rsidRPr="00250FF3">
        <w:rPr>
          <w:rFonts w:ascii="Arial" w:hAnsi="Arial" w:cs="Arial"/>
          <w:b/>
          <w:sz w:val="18"/>
          <w:szCs w:val="18"/>
        </w:rPr>
        <w:t xml:space="preserve"> </w:t>
      </w:r>
      <w:r w:rsidRPr="00250FF3">
        <w:rPr>
          <w:rFonts w:ascii="Arial" w:hAnsi="Arial" w:cs="Arial"/>
          <w:sz w:val="18"/>
          <w:szCs w:val="18"/>
        </w:rPr>
        <w:t>- porez na kuću za odmor, porez na potrošnju</w:t>
      </w:r>
      <w:r w:rsidR="001C34C5" w:rsidRPr="00250FF3">
        <w:rPr>
          <w:rFonts w:ascii="Arial" w:hAnsi="Arial" w:cs="Arial"/>
          <w:sz w:val="18"/>
          <w:szCs w:val="18"/>
        </w:rPr>
        <w:t>, porez na promet nekretnina</w:t>
      </w:r>
      <w:r w:rsidRPr="00250FF3">
        <w:rPr>
          <w:rFonts w:ascii="Arial" w:hAnsi="Arial" w:cs="Arial"/>
          <w:sz w:val="18"/>
          <w:szCs w:val="18"/>
        </w:rPr>
        <w:t xml:space="preserve"> i porez na tvrtku</w:t>
      </w:r>
      <w:r w:rsidR="009101EE" w:rsidRPr="00250FF3">
        <w:rPr>
          <w:rFonts w:ascii="Arial" w:hAnsi="Arial" w:cs="Arial"/>
          <w:sz w:val="18"/>
          <w:szCs w:val="18"/>
        </w:rPr>
        <w:t>-uki</w:t>
      </w:r>
      <w:r w:rsidR="001C34C5" w:rsidRPr="00250FF3">
        <w:rPr>
          <w:rFonts w:ascii="Arial" w:hAnsi="Arial" w:cs="Arial"/>
          <w:sz w:val="18"/>
          <w:szCs w:val="18"/>
        </w:rPr>
        <w:t>nut</w:t>
      </w:r>
      <w:r w:rsidRPr="00250FF3">
        <w:rPr>
          <w:rFonts w:ascii="Arial" w:hAnsi="Arial" w:cs="Arial"/>
          <w:sz w:val="18"/>
          <w:szCs w:val="18"/>
        </w:rPr>
        <w:t>)</w:t>
      </w:r>
      <w:r w:rsidR="00B6714B" w:rsidRPr="00250FF3">
        <w:rPr>
          <w:rFonts w:ascii="Arial" w:hAnsi="Arial" w:cs="Arial"/>
          <w:sz w:val="18"/>
          <w:szCs w:val="18"/>
        </w:rPr>
        <w:t>,</w:t>
      </w:r>
      <w:r w:rsidRPr="00250FF3">
        <w:rPr>
          <w:rFonts w:ascii="Arial" w:hAnsi="Arial" w:cs="Arial"/>
          <w:sz w:val="18"/>
          <w:szCs w:val="18"/>
        </w:rPr>
        <w:t xml:space="preserve"> su naplaćeni u iznosu od </w:t>
      </w:r>
      <w:r w:rsidR="00071140" w:rsidRPr="00250FF3">
        <w:rPr>
          <w:rFonts w:ascii="Arial" w:hAnsi="Arial" w:cs="Arial"/>
          <w:sz w:val="18"/>
          <w:szCs w:val="18"/>
        </w:rPr>
        <w:t>1.</w:t>
      </w:r>
      <w:r w:rsidR="00B6714B" w:rsidRPr="00250FF3">
        <w:rPr>
          <w:rFonts w:ascii="Arial" w:hAnsi="Arial" w:cs="Arial"/>
          <w:sz w:val="18"/>
          <w:szCs w:val="18"/>
        </w:rPr>
        <w:t>771.342</w:t>
      </w:r>
      <w:r w:rsidR="006A7B40" w:rsidRPr="00250FF3">
        <w:rPr>
          <w:rFonts w:ascii="Arial" w:hAnsi="Arial" w:cs="Arial"/>
          <w:sz w:val="18"/>
          <w:szCs w:val="18"/>
        </w:rPr>
        <w:t xml:space="preserve"> kn ili </w:t>
      </w:r>
      <w:r w:rsidR="00B6714B" w:rsidRPr="00250FF3">
        <w:rPr>
          <w:rFonts w:ascii="Arial" w:hAnsi="Arial" w:cs="Arial"/>
          <w:sz w:val="18"/>
          <w:szCs w:val="18"/>
        </w:rPr>
        <w:t>11</w:t>
      </w:r>
      <w:r w:rsidR="006A7B40" w:rsidRPr="00250FF3">
        <w:rPr>
          <w:rFonts w:ascii="Arial" w:hAnsi="Arial" w:cs="Arial"/>
          <w:sz w:val="18"/>
          <w:szCs w:val="18"/>
        </w:rPr>
        <w:t xml:space="preserve">% </w:t>
      </w:r>
      <w:r w:rsidR="00956C83" w:rsidRPr="00250FF3">
        <w:rPr>
          <w:rFonts w:ascii="Arial" w:hAnsi="Arial" w:cs="Arial"/>
          <w:sz w:val="18"/>
          <w:szCs w:val="18"/>
        </w:rPr>
        <w:t>više</w:t>
      </w:r>
      <w:r w:rsidRPr="00250FF3">
        <w:rPr>
          <w:rFonts w:ascii="Arial" w:hAnsi="Arial" w:cs="Arial"/>
          <w:sz w:val="18"/>
          <w:szCs w:val="18"/>
        </w:rPr>
        <w:t xml:space="preserve"> nego u istom razdoblju prethodne godine.</w:t>
      </w:r>
    </w:p>
    <w:p w14:paraId="2D576AAE" w14:textId="77777777" w:rsidR="00335670" w:rsidRPr="00250FF3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6B0D66" w14:textId="0EE68341" w:rsidR="00120BD4" w:rsidRPr="00250FF3" w:rsidRDefault="00760997" w:rsidP="003356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0FF3">
        <w:rPr>
          <w:rFonts w:ascii="Arial" w:hAnsi="Arial" w:cs="Arial"/>
          <w:b/>
          <w:sz w:val="18"/>
          <w:szCs w:val="18"/>
        </w:rPr>
        <w:lastRenderedPageBreak/>
        <w:t xml:space="preserve">Pomoći iz inozemstva i od </w:t>
      </w:r>
      <w:r w:rsidRPr="00250FF3">
        <w:rPr>
          <w:rFonts w:ascii="Arial" w:hAnsi="Arial" w:cs="Arial"/>
          <w:b/>
          <w:color w:val="000000"/>
          <w:sz w:val="18"/>
          <w:szCs w:val="18"/>
        </w:rPr>
        <w:t>subjekata unutar općeg proračuna (skupina 63</w:t>
      </w:r>
      <w:r w:rsidRPr="00250FF3">
        <w:rPr>
          <w:rFonts w:ascii="Arial" w:hAnsi="Arial" w:cs="Arial"/>
          <w:sz w:val="18"/>
          <w:szCs w:val="18"/>
        </w:rPr>
        <w:t xml:space="preserve">) su ostvarene u iznosu od </w:t>
      </w:r>
      <w:r w:rsidR="00B6714B" w:rsidRPr="00250FF3">
        <w:rPr>
          <w:rFonts w:ascii="Arial" w:hAnsi="Arial" w:cs="Arial"/>
          <w:sz w:val="18"/>
          <w:szCs w:val="18"/>
        </w:rPr>
        <w:t>6.045.531</w:t>
      </w:r>
      <w:r w:rsidRPr="00250FF3">
        <w:rPr>
          <w:rFonts w:ascii="Arial" w:hAnsi="Arial" w:cs="Arial"/>
          <w:sz w:val="18"/>
          <w:szCs w:val="18"/>
        </w:rPr>
        <w:t xml:space="preserve"> </w:t>
      </w:r>
      <w:r w:rsidR="004A2232" w:rsidRPr="00250FF3">
        <w:rPr>
          <w:rFonts w:ascii="Arial" w:hAnsi="Arial" w:cs="Arial"/>
          <w:sz w:val="18"/>
          <w:szCs w:val="18"/>
        </w:rPr>
        <w:t xml:space="preserve">kn </w:t>
      </w:r>
      <w:r w:rsidRPr="00250FF3">
        <w:rPr>
          <w:rFonts w:ascii="Arial" w:hAnsi="Arial" w:cs="Arial"/>
          <w:sz w:val="18"/>
          <w:szCs w:val="18"/>
        </w:rPr>
        <w:t xml:space="preserve">ili </w:t>
      </w:r>
      <w:r w:rsidR="00B6714B" w:rsidRPr="00250FF3">
        <w:rPr>
          <w:rFonts w:ascii="Arial" w:hAnsi="Arial" w:cs="Arial"/>
          <w:sz w:val="18"/>
          <w:szCs w:val="18"/>
        </w:rPr>
        <w:t>82</w:t>
      </w:r>
      <w:r w:rsidRPr="00250FF3">
        <w:rPr>
          <w:rFonts w:ascii="Arial" w:hAnsi="Arial" w:cs="Arial"/>
          <w:sz w:val="18"/>
          <w:szCs w:val="18"/>
        </w:rPr>
        <w:t xml:space="preserve">% </w:t>
      </w:r>
      <w:r w:rsidR="00956C83" w:rsidRPr="00250FF3">
        <w:rPr>
          <w:rFonts w:ascii="Arial" w:hAnsi="Arial" w:cs="Arial"/>
          <w:sz w:val="18"/>
          <w:szCs w:val="18"/>
        </w:rPr>
        <w:t>više</w:t>
      </w:r>
      <w:r w:rsidRPr="00250FF3">
        <w:rPr>
          <w:rFonts w:ascii="Arial" w:hAnsi="Arial" w:cs="Arial"/>
          <w:sz w:val="18"/>
          <w:szCs w:val="18"/>
        </w:rPr>
        <w:t xml:space="preserve"> nego prošle godine</w:t>
      </w:r>
      <w:r w:rsidR="00B6714B" w:rsidRPr="00250FF3">
        <w:rPr>
          <w:rFonts w:ascii="Arial" w:hAnsi="Arial" w:cs="Arial"/>
          <w:sz w:val="18"/>
          <w:szCs w:val="18"/>
        </w:rPr>
        <w:t>,</w:t>
      </w:r>
      <w:r w:rsidRPr="00250FF3">
        <w:rPr>
          <w:rFonts w:ascii="Arial" w:hAnsi="Arial" w:cs="Arial"/>
          <w:sz w:val="18"/>
          <w:szCs w:val="18"/>
        </w:rPr>
        <w:t xml:space="preserve"> a </w:t>
      </w:r>
      <w:r w:rsidR="00956C83" w:rsidRPr="00250FF3">
        <w:rPr>
          <w:rFonts w:ascii="Arial" w:hAnsi="Arial" w:cs="Arial"/>
          <w:sz w:val="18"/>
          <w:szCs w:val="18"/>
        </w:rPr>
        <w:t>1</w:t>
      </w:r>
      <w:r w:rsidR="00B6714B" w:rsidRPr="00250FF3">
        <w:rPr>
          <w:rFonts w:ascii="Arial" w:hAnsi="Arial" w:cs="Arial"/>
          <w:sz w:val="18"/>
          <w:szCs w:val="18"/>
        </w:rPr>
        <w:t>5</w:t>
      </w:r>
      <w:r w:rsidRPr="00250FF3">
        <w:rPr>
          <w:rFonts w:ascii="Arial" w:hAnsi="Arial" w:cs="Arial"/>
          <w:sz w:val="18"/>
          <w:szCs w:val="18"/>
        </w:rPr>
        <w:t xml:space="preserve">% od plana. </w:t>
      </w:r>
      <w:r w:rsidR="009555AD" w:rsidRPr="00250FF3">
        <w:rPr>
          <w:rFonts w:ascii="Arial" w:hAnsi="Arial" w:cs="Arial"/>
          <w:sz w:val="18"/>
          <w:szCs w:val="18"/>
        </w:rPr>
        <w:t>O</w:t>
      </w:r>
      <w:r w:rsidRPr="00250FF3">
        <w:rPr>
          <w:rFonts w:ascii="Arial" w:hAnsi="Arial" w:cs="Arial"/>
          <w:sz w:val="18"/>
          <w:szCs w:val="18"/>
        </w:rPr>
        <w:t>dnose se na</w:t>
      </w:r>
      <w:r w:rsidR="00120BD4" w:rsidRPr="00250FF3">
        <w:rPr>
          <w:rFonts w:ascii="Arial" w:hAnsi="Arial" w:cs="Arial"/>
          <w:sz w:val="18"/>
          <w:szCs w:val="18"/>
        </w:rPr>
        <w:t>:</w:t>
      </w:r>
      <w:r w:rsidRPr="00250FF3">
        <w:rPr>
          <w:rFonts w:ascii="Arial" w:hAnsi="Arial" w:cs="Arial"/>
          <w:sz w:val="18"/>
          <w:szCs w:val="18"/>
        </w:rPr>
        <w:t xml:space="preserve"> </w:t>
      </w:r>
      <w:r w:rsidR="00120BD4" w:rsidRPr="00250FF3">
        <w:rPr>
          <w:rFonts w:ascii="Arial" w:hAnsi="Arial" w:cs="Arial"/>
          <w:sz w:val="18"/>
          <w:szCs w:val="18"/>
        </w:rPr>
        <w:t xml:space="preserve">      </w:t>
      </w:r>
    </w:p>
    <w:p w14:paraId="126C0629" w14:textId="78D71A1B" w:rsidR="00120BD4" w:rsidRPr="00250FF3" w:rsidRDefault="00120BD4" w:rsidP="006E6B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5FBF6E" w14:textId="77777777" w:rsidR="00B70B66" w:rsidRDefault="009555AD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50FF3">
        <w:rPr>
          <w:rFonts w:ascii="Arial" w:hAnsi="Arial" w:cs="Arial"/>
          <w:sz w:val="18"/>
          <w:szCs w:val="18"/>
        </w:rPr>
        <w:t>kapitalne po</w:t>
      </w:r>
      <w:r w:rsidR="00D15F0F" w:rsidRPr="00250FF3">
        <w:rPr>
          <w:rFonts w:ascii="Arial" w:hAnsi="Arial" w:cs="Arial"/>
          <w:sz w:val="18"/>
          <w:szCs w:val="18"/>
        </w:rPr>
        <w:t xml:space="preserve">moći </w:t>
      </w:r>
      <w:r w:rsidR="008B1E87" w:rsidRPr="00250FF3">
        <w:rPr>
          <w:rFonts w:ascii="Arial" w:hAnsi="Arial" w:cs="Arial"/>
          <w:sz w:val="18"/>
          <w:szCs w:val="18"/>
        </w:rPr>
        <w:t>iz državnog proračuna temeljem prijenosa</w:t>
      </w:r>
      <w:r w:rsidR="009101EE" w:rsidRPr="00250FF3">
        <w:rPr>
          <w:rFonts w:ascii="Arial" w:hAnsi="Arial" w:cs="Arial"/>
          <w:sz w:val="18"/>
          <w:szCs w:val="18"/>
        </w:rPr>
        <w:t xml:space="preserve"> EU sredstava </w:t>
      </w:r>
      <w:r w:rsidR="008B1E87" w:rsidRPr="00250FF3">
        <w:rPr>
          <w:rFonts w:ascii="Arial" w:hAnsi="Arial" w:cs="Arial"/>
          <w:sz w:val="18"/>
          <w:szCs w:val="18"/>
        </w:rPr>
        <w:t xml:space="preserve">u iznosu </w:t>
      </w:r>
      <w:r w:rsidR="009101EE" w:rsidRPr="00250FF3">
        <w:rPr>
          <w:rFonts w:ascii="Arial" w:hAnsi="Arial" w:cs="Arial"/>
          <w:sz w:val="18"/>
          <w:szCs w:val="18"/>
        </w:rPr>
        <w:t xml:space="preserve">od </w:t>
      </w:r>
      <w:r w:rsidR="00B70B66" w:rsidRPr="00250FF3">
        <w:rPr>
          <w:rFonts w:ascii="Arial" w:hAnsi="Arial" w:cs="Arial"/>
          <w:sz w:val="18"/>
          <w:szCs w:val="18"/>
        </w:rPr>
        <w:t>4.873.968</w:t>
      </w:r>
      <w:r w:rsidR="006255F3" w:rsidRPr="00250FF3">
        <w:rPr>
          <w:rFonts w:ascii="Arial" w:hAnsi="Arial" w:cs="Arial"/>
          <w:sz w:val="18"/>
          <w:szCs w:val="18"/>
        </w:rPr>
        <w:t xml:space="preserve"> kn</w:t>
      </w:r>
      <w:r w:rsidR="00CF5248" w:rsidRPr="00250FF3">
        <w:rPr>
          <w:rFonts w:ascii="Arial" w:hAnsi="Arial" w:cs="Arial"/>
          <w:sz w:val="18"/>
          <w:szCs w:val="18"/>
        </w:rPr>
        <w:t>,</w:t>
      </w:r>
      <w:r w:rsidR="009101EE" w:rsidRPr="00250FF3">
        <w:rPr>
          <w:rFonts w:ascii="Arial" w:hAnsi="Arial" w:cs="Arial"/>
          <w:sz w:val="18"/>
          <w:szCs w:val="18"/>
        </w:rPr>
        <w:t xml:space="preserve"> temeljem zahtjeva za nadoknadom sredstava</w:t>
      </w:r>
      <w:r w:rsidR="009101EE" w:rsidRPr="0044293B">
        <w:rPr>
          <w:rFonts w:ascii="Arial" w:hAnsi="Arial" w:cs="Arial"/>
          <w:sz w:val="18"/>
          <w:szCs w:val="18"/>
        </w:rPr>
        <w:t xml:space="preserve"> projek</w:t>
      </w:r>
      <w:r w:rsidR="00CF5248" w:rsidRPr="0044293B">
        <w:rPr>
          <w:rFonts w:ascii="Arial" w:hAnsi="Arial" w:cs="Arial"/>
          <w:sz w:val="18"/>
          <w:szCs w:val="18"/>
        </w:rPr>
        <w:t>at</w:t>
      </w:r>
      <w:r w:rsidR="009101EE" w:rsidRPr="0044293B">
        <w:rPr>
          <w:rFonts w:ascii="Arial" w:hAnsi="Arial" w:cs="Arial"/>
          <w:sz w:val="18"/>
          <w:szCs w:val="18"/>
        </w:rPr>
        <w:t xml:space="preserve">a </w:t>
      </w:r>
      <w:r w:rsidR="00B70B66">
        <w:rPr>
          <w:rFonts w:ascii="Arial" w:hAnsi="Arial" w:cs="Arial"/>
          <w:sz w:val="18"/>
          <w:szCs w:val="18"/>
        </w:rPr>
        <w:t>obnove Gradskog muzeja i kuće Marka Pola</w:t>
      </w:r>
    </w:p>
    <w:p w14:paraId="0363C84C" w14:textId="6250243C" w:rsidR="00B70B66" w:rsidRDefault="00B70B66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kapitalne pomoći iz Agencije APPRRR za uređenje šetališta Tina Ujevića, u iznosu 886.705 kn,</w:t>
      </w:r>
    </w:p>
    <w:p w14:paraId="09B9BDAD" w14:textId="2FE1F833" w:rsidR="00120BD4" w:rsidRDefault="00B70B66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kapitalne pomoći iz Ministarstva turizma za interpretacijski centar kuće Marka Pola, u iznosu od 103.390 kn</w:t>
      </w:r>
      <w:r w:rsidR="009101EE" w:rsidRPr="0044293B">
        <w:rPr>
          <w:rFonts w:ascii="Arial" w:hAnsi="Arial" w:cs="Arial"/>
          <w:sz w:val="18"/>
          <w:szCs w:val="18"/>
        </w:rPr>
        <w:t>,</w:t>
      </w:r>
      <w:r w:rsidR="004D336E" w:rsidRPr="0044293B">
        <w:rPr>
          <w:rFonts w:ascii="Arial" w:hAnsi="Arial" w:cs="Arial"/>
          <w:sz w:val="18"/>
          <w:szCs w:val="18"/>
        </w:rPr>
        <w:t xml:space="preserve"> </w:t>
      </w:r>
    </w:p>
    <w:p w14:paraId="0AFB982B" w14:textId="08B73EE4" w:rsidR="00B70B66" w:rsidRPr="0044293B" w:rsidRDefault="00B70B66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tekuće pomoći Ministarstva kulture u iznosu od 16.000 kn za monografiju Marka Andrijića,</w:t>
      </w:r>
    </w:p>
    <w:p w14:paraId="2DA29685" w14:textId="28A799DD" w:rsidR="00120BD4" w:rsidRPr="00B70B66" w:rsidRDefault="006255F3" w:rsidP="00B70B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4293B">
        <w:rPr>
          <w:rFonts w:ascii="Arial" w:hAnsi="Arial" w:cs="Arial"/>
          <w:sz w:val="18"/>
          <w:szCs w:val="18"/>
        </w:rPr>
        <w:t xml:space="preserve">tekuće pomoći županije Dubrovačko-neretvanske od </w:t>
      </w:r>
      <w:r w:rsidR="00B70B66">
        <w:rPr>
          <w:rFonts w:ascii="Arial" w:hAnsi="Arial" w:cs="Arial"/>
          <w:sz w:val="18"/>
          <w:szCs w:val="18"/>
        </w:rPr>
        <w:t xml:space="preserve">1.050 </w:t>
      </w:r>
      <w:r w:rsidRPr="0044293B">
        <w:rPr>
          <w:rFonts w:ascii="Arial" w:hAnsi="Arial" w:cs="Arial"/>
          <w:sz w:val="18"/>
          <w:szCs w:val="18"/>
        </w:rPr>
        <w:t>kn za</w:t>
      </w:r>
      <w:r w:rsidR="00B70B66">
        <w:rPr>
          <w:rFonts w:ascii="Arial" w:hAnsi="Arial" w:cs="Arial"/>
          <w:sz w:val="18"/>
          <w:szCs w:val="18"/>
        </w:rPr>
        <w:t xml:space="preserve"> ogrijev potrebitim građanima</w:t>
      </w:r>
      <w:r w:rsidR="00120BD4" w:rsidRPr="0044293B">
        <w:rPr>
          <w:rFonts w:ascii="Arial" w:hAnsi="Arial" w:cs="Arial"/>
          <w:sz w:val="18"/>
          <w:szCs w:val="18"/>
        </w:rPr>
        <w:t>,</w:t>
      </w:r>
      <w:r w:rsidRPr="0044293B">
        <w:rPr>
          <w:rFonts w:ascii="Arial" w:hAnsi="Arial" w:cs="Arial"/>
          <w:sz w:val="18"/>
          <w:szCs w:val="18"/>
        </w:rPr>
        <w:t xml:space="preserve"> </w:t>
      </w:r>
    </w:p>
    <w:p w14:paraId="42BAC9BB" w14:textId="6EB96AE2" w:rsidR="00760997" w:rsidRPr="0044293B" w:rsidRDefault="002E020F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4293B">
        <w:rPr>
          <w:rFonts w:ascii="Arial" w:hAnsi="Arial" w:cs="Arial"/>
          <w:sz w:val="18"/>
          <w:szCs w:val="18"/>
        </w:rPr>
        <w:t xml:space="preserve">tekuće pomoći Ministarstva kulture </w:t>
      </w:r>
      <w:r w:rsidR="004D336E" w:rsidRPr="0044293B">
        <w:rPr>
          <w:rFonts w:ascii="Arial" w:hAnsi="Arial" w:cs="Arial"/>
          <w:sz w:val="18"/>
          <w:szCs w:val="18"/>
        </w:rPr>
        <w:t>u iznosu od</w:t>
      </w:r>
      <w:r w:rsidR="00B70B66">
        <w:rPr>
          <w:rFonts w:ascii="Arial" w:hAnsi="Arial" w:cs="Arial"/>
          <w:sz w:val="18"/>
          <w:szCs w:val="18"/>
        </w:rPr>
        <w:t xml:space="preserve"> 66.040</w:t>
      </w:r>
      <w:r w:rsidRPr="0044293B">
        <w:rPr>
          <w:rFonts w:ascii="Arial" w:hAnsi="Arial" w:cs="Arial"/>
          <w:sz w:val="18"/>
          <w:szCs w:val="18"/>
        </w:rPr>
        <w:t xml:space="preserve"> kn za aktivnosti </w:t>
      </w:r>
      <w:r w:rsidR="0053796F" w:rsidRPr="0044293B">
        <w:rPr>
          <w:rFonts w:ascii="Arial" w:hAnsi="Arial" w:cs="Arial"/>
          <w:sz w:val="18"/>
          <w:szCs w:val="18"/>
        </w:rPr>
        <w:t>G</w:t>
      </w:r>
      <w:r w:rsidR="008B1E87" w:rsidRPr="0044293B">
        <w:rPr>
          <w:rFonts w:ascii="Arial" w:hAnsi="Arial" w:cs="Arial"/>
          <w:sz w:val="18"/>
          <w:szCs w:val="18"/>
        </w:rPr>
        <w:t>radske knjižnice</w:t>
      </w:r>
      <w:r w:rsidR="00B70B66">
        <w:rPr>
          <w:rFonts w:ascii="Arial" w:hAnsi="Arial" w:cs="Arial"/>
          <w:sz w:val="18"/>
          <w:szCs w:val="18"/>
        </w:rPr>
        <w:t xml:space="preserve"> i Centra za kulturu</w:t>
      </w:r>
      <w:r w:rsidRPr="0044293B">
        <w:rPr>
          <w:rFonts w:ascii="Arial" w:hAnsi="Arial" w:cs="Arial"/>
          <w:sz w:val="18"/>
          <w:szCs w:val="18"/>
        </w:rPr>
        <w:t xml:space="preserve">, </w:t>
      </w:r>
      <w:r w:rsidR="004D336E" w:rsidRPr="0044293B">
        <w:rPr>
          <w:rFonts w:ascii="Arial" w:hAnsi="Arial" w:cs="Arial"/>
          <w:sz w:val="18"/>
          <w:szCs w:val="18"/>
        </w:rPr>
        <w:t>tekuće pomoći općine Lumbarda</w:t>
      </w:r>
      <w:r w:rsidR="009555AD" w:rsidRPr="0044293B">
        <w:rPr>
          <w:rFonts w:ascii="Arial" w:hAnsi="Arial" w:cs="Arial"/>
          <w:sz w:val="18"/>
          <w:szCs w:val="18"/>
        </w:rPr>
        <w:t xml:space="preserve"> </w:t>
      </w:r>
      <w:r w:rsidR="004D336E" w:rsidRPr="0044293B">
        <w:rPr>
          <w:rFonts w:ascii="Arial" w:hAnsi="Arial" w:cs="Arial"/>
          <w:sz w:val="18"/>
          <w:szCs w:val="18"/>
        </w:rPr>
        <w:t xml:space="preserve">od </w:t>
      </w:r>
      <w:r w:rsidR="00B70B66">
        <w:rPr>
          <w:rFonts w:ascii="Arial" w:hAnsi="Arial" w:cs="Arial"/>
          <w:sz w:val="18"/>
          <w:szCs w:val="18"/>
        </w:rPr>
        <w:t>85.058</w:t>
      </w:r>
      <w:r w:rsidR="004D336E" w:rsidRPr="0044293B">
        <w:rPr>
          <w:rFonts w:ascii="Arial" w:hAnsi="Arial" w:cs="Arial"/>
          <w:sz w:val="18"/>
          <w:szCs w:val="18"/>
        </w:rPr>
        <w:t xml:space="preserve"> kn za dječji vrtić te </w:t>
      </w:r>
      <w:r w:rsidR="003F4DAE" w:rsidRPr="0044293B">
        <w:rPr>
          <w:rFonts w:ascii="Arial" w:hAnsi="Arial" w:cs="Arial"/>
          <w:sz w:val="18"/>
          <w:szCs w:val="18"/>
        </w:rPr>
        <w:t>ostale</w:t>
      </w:r>
      <w:r w:rsidR="004D336E" w:rsidRPr="0044293B">
        <w:rPr>
          <w:rFonts w:ascii="Arial" w:hAnsi="Arial" w:cs="Arial"/>
          <w:sz w:val="18"/>
          <w:szCs w:val="18"/>
        </w:rPr>
        <w:t xml:space="preserve"> tekuće pomoći</w:t>
      </w:r>
      <w:r w:rsidR="008B1E87" w:rsidRPr="0044293B">
        <w:rPr>
          <w:rFonts w:ascii="Arial" w:hAnsi="Arial" w:cs="Arial"/>
          <w:sz w:val="18"/>
          <w:szCs w:val="18"/>
        </w:rPr>
        <w:t xml:space="preserve"> od </w:t>
      </w:r>
      <w:r w:rsidR="00B70B66">
        <w:rPr>
          <w:rFonts w:ascii="Arial" w:hAnsi="Arial" w:cs="Arial"/>
          <w:sz w:val="18"/>
          <w:szCs w:val="18"/>
        </w:rPr>
        <w:t>13.320 kn</w:t>
      </w:r>
      <w:r w:rsidR="008B1E87" w:rsidRPr="0044293B">
        <w:rPr>
          <w:rFonts w:ascii="Arial" w:hAnsi="Arial" w:cs="Arial"/>
          <w:sz w:val="18"/>
          <w:szCs w:val="18"/>
        </w:rPr>
        <w:t xml:space="preserve"> za dječji vrtić</w:t>
      </w:r>
      <w:r w:rsidR="004D336E" w:rsidRPr="0044293B">
        <w:rPr>
          <w:rFonts w:ascii="Arial" w:hAnsi="Arial" w:cs="Arial"/>
          <w:sz w:val="18"/>
          <w:szCs w:val="18"/>
        </w:rPr>
        <w:t>.</w:t>
      </w:r>
    </w:p>
    <w:p w14:paraId="38520F96" w14:textId="77777777" w:rsidR="003F4DAE" w:rsidRPr="0044293B" w:rsidRDefault="003F4DAE" w:rsidP="003356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D9E560" w14:textId="30DD448D" w:rsidR="00760997" w:rsidRPr="00250FF3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250FF3">
        <w:rPr>
          <w:rFonts w:ascii="Arial" w:hAnsi="Arial" w:cs="Arial"/>
          <w:b/>
          <w:sz w:val="18"/>
          <w:szCs w:val="18"/>
        </w:rPr>
        <w:t>Prihodi od imovine (skupina 64</w:t>
      </w:r>
      <w:r w:rsidR="00994228" w:rsidRPr="00250FF3">
        <w:rPr>
          <w:rFonts w:ascii="Arial" w:hAnsi="Arial" w:cs="Arial"/>
          <w:b/>
          <w:sz w:val="18"/>
          <w:szCs w:val="18"/>
        </w:rPr>
        <w:t>)</w:t>
      </w:r>
      <w:r w:rsidRPr="00250FF3">
        <w:rPr>
          <w:rFonts w:ascii="Arial" w:hAnsi="Arial" w:cs="Arial"/>
          <w:sz w:val="18"/>
          <w:szCs w:val="18"/>
        </w:rPr>
        <w:t xml:space="preserve"> - naknade za koncesije, zakup poslovnog prostora i javnih površina, spomenička renta, naknada za nezakonito izgrađene zgrade</w:t>
      </w:r>
      <w:r w:rsidR="00F232B8" w:rsidRPr="00250FF3">
        <w:rPr>
          <w:rFonts w:ascii="Arial" w:hAnsi="Arial" w:cs="Arial"/>
          <w:sz w:val="18"/>
          <w:szCs w:val="18"/>
        </w:rPr>
        <w:t>, prihodi od zateznih kamata</w:t>
      </w:r>
      <w:r w:rsidRPr="00250FF3">
        <w:rPr>
          <w:rFonts w:ascii="Arial" w:hAnsi="Arial" w:cs="Arial"/>
          <w:sz w:val="18"/>
          <w:szCs w:val="18"/>
        </w:rPr>
        <w:t xml:space="preserve">)  ostvareni su  u iznosu od  </w:t>
      </w:r>
      <w:r w:rsidR="00937569" w:rsidRPr="00250FF3">
        <w:rPr>
          <w:rFonts w:ascii="Arial" w:hAnsi="Arial" w:cs="Arial"/>
          <w:sz w:val="18"/>
          <w:szCs w:val="18"/>
        </w:rPr>
        <w:t>1.</w:t>
      </w:r>
      <w:r w:rsidR="00E67725" w:rsidRPr="00250FF3">
        <w:rPr>
          <w:rFonts w:ascii="Arial" w:hAnsi="Arial" w:cs="Arial"/>
          <w:sz w:val="18"/>
          <w:szCs w:val="18"/>
        </w:rPr>
        <w:t>401.957</w:t>
      </w:r>
      <w:r w:rsidR="00A83089" w:rsidRPr="00250FF3">
        <w:rPr>
          <w:rFonts w:ascii="Arial" w:hAnsi="Arial" w:cs="Arial"/>
          <w:sz w:val="18"/>
          <w:szCs w:val="18"/>
        </w:rPr>
        <w:t xml:space="preserve"> kn</w:t>
      </w:r>
      <w:r w:rsidRPr="00250FF3">
        <w:rPr>
          <w:rFonts w:ascii="Arial" w:hAnsi="Arial" w:cs="Arial"/>
          <w:sz w:val="18"/>
          <w:szCs w:val="18"/>
        </w:rPr>
        <w:t xml:space="preserve"> ili </w:t>
      </w:r>
      <w:r w:rsidR="00E67725" w:rsidRPr="00250FF3">
        <w:rPr>
          <w:rFonts w:ascii="Arial" w:hAnsi="Arial" w:cs="Arial"/>
          <w:sz w:val="18"/>
          <w:szCs w:val="18"/>
        </w:rPr>
        <w:t>20</w:t>
      </w:r>
      <w:r w:rsidRPr="00250FF3">
        <w:rPr>
          <w:rFonts w:ascii="Arial" w:hAnsi="Arial" w:cs="Arial"/>
          <w:sz w:val="18"/>
          <w:szCs w:val="18"/>
        </w:rPr>
        <w:t>% u odnosu na plan</w:t>
      </w:r>
      <w:r w:rsidR="00E67725" w:rsidRPr="00250FF3">
        <w:rPr>
          <w:rFonts w:ascii="Arial" w:hAnsi="Arial" w:cs="Arial"/>
          <w:sz w:val="18"/>
          <w:szCs w:val="18"/>
        </w:rPr>
        <w:t>,</w:t>
      </w:r>
      <w:r w:rsidRPr="00250FF3">
        <w:rPr>
          <w:rFonts w:ascii="Arial" w:hAnsi="Arial" w:cs="Arial"/>
          <w:sz w:val="18"/>
          <w:szCs w:val="18"/>
        </w:rPr>
        <w:t xml:space="preserve"> a </w:t>
      </w:r>
      <w:r w:rsidR="00E67725" w:rsidRPr="00250FF3">
        <w:rPr>
          <w:rFonts w:ascii="Arial" w:hAnsi="Arial" w:cs="Arial"/>
          <w:sz w:val="18"/>
          <w:szCs w:val="18"/>
        </w:rPr>
        <w:t>8</w:t>
      </w:r>
      <w:r w:rsidRPr="00250FF3">
        <w:rPr>
          <w:rFonts w:ascii="Arial" w:hAnsi="Arial" w:cs="Arial"/>
          <w:sz w:val="18"/>
          <w:szCs w:val="18"/>
        </w:rPr>
        <w:t xml:space="preserve">% </w:t>
      </w:r>
      <w:r w:rsidR="00300E9B" w:rsidRPr="00250FF3">
        <w:rPr>
          <w:rFonts w:ascii="Arial" w:hAnsi="Arial" w:cs="Arial"/>
          <w:sz w:val="18"/>
          <w:szCs w:val="18"/>
        </w:rPr>
        <w:t>više</w:t>
      </w:r>
      <w:r w:rsidRPr="00250FF3">
        <w:rPr>
          <w:rFonts w:ascii="Arial" w:hAnsi="Arial" w:cs="Arial"/>
          <w:sz w:val="18"/>
          <w:szCs w:val="18"/>
        </w:rPr>
        <w:t xml:space="preserve"> u odnosu na isto razdoblje prethodne godine. </w:t>
      </w:r>
    </w:p>
    <w:p w14:paraId="73A4CCAD" w14:textId="77777777" w:rsidR="00335670" w:rsidRPr="00250FF3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415091" w14:textId="3DED4DDF" w:rsidR="00760997" w:rsidRPr="00250FF3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250FF3">
        <w:rPr>
          <w:rFonts w:ascii="Arial" w:hAnsi="Arial" w:cs="Arial"/>
          <w:b/>
          <w:sz w:val="18"/>
          <w:szCs w:val="18"/>
        </w:rPr>
        <w:t>Prihodi od upravnih i administrativnih pristojbi, pristojbi po posebnim propisima i naknada (skupina 65</w:t>
      </w:r>
      <w:r w:rsidR="00994228" w:rsidRPr="00250FF3">
        <w:rPr>
          <w:rFonts w:ascii="Arial" w:hAnsi="Arial" w:cs="Arial"/>
          <w:b/>
          <w:sz w:val="18"/>
          <w:szCs w:val="18"/>
        </w:rPr>
        <w:t>)</w:t>
      </w:r>
      <w:r w:rsidRPr="00250FF3">
        <w:rPr>
          <w:rFonts w:ascii="Arial" w:hAnsi="Arial" w:cs="Arial"/>
          <w:sz w:val="18"/>
          <w:szCs w:val="18"/>
        </w:rPr>
        <w:t xml:space="preserve"> - komunalna naknada, komunalni doprinos, vodni doprinos, </w:t>
      </w:r>
      <w:r w:rsidR="009F235E" w:rsidRPr="00250FF3">
        <w:rPr>
          <w:rFonts w:ascii="Arial" w:hAnsi="Arial" w:cs="Arial"/>
          <w:sz w:val="18"/>
          <w:szCs w:val="18"/>
        </w:rPr>
        <w:t>turističke</w:t>
      </w:r>
      <w:r w:rsidRPr="00250FF3">
        <w:rPr>
          <w:rFonts w:ascii="Arial" w:hAnsi="Arial" w:cs="Arial"/>
          <w:sz w:val="18"/>
          <w:szCs w:val="18"/>
        </w:rPr>
        <w:t xml:space="preserve"> pristojbe, prihod od prodaje drž.biljega, sufinanciranja i dr., ostvareni su u iznosu od  </w:t>
      </w:r>
      <w:r w:rsidR="009F235E" w:rsidRPr="00250FF3">
        <w:rPr>
          <w:rFonts w:ascii="Arial" w:hAnsi="Arial" w:cs="Arial"/>
          <w:sz w:val="18"/>
          <w:szCs w:val="18"/>
        </w:rPr>
        <w:t>3.</w:t>
      </w:r>
      <w:r w:rsidR="008465C5" w:rsidRPr="00250FF3">
        <w:rPr>
          <w:rFonts w:ascii="Arial" w:hAnsi="Arial" w:cs="Arial"/>
          <w:sz w:val="18"/>
          <w:szCs w:val="18"/>
        </w:rPr>
        <w:t>073.457</w:t>
      </w:r>
      <w:r w:rsidR="00EA3286" w:rsidRPr="00250FF3">
        <w:rPr>
          <w:rFonts w:ascii="Arial" w:hAnsi="Arial" w:cs="Arial"/>
          <w:sz w:val="18"/>
          <w:szCs w:val="18"/>
        </w:rPr>
        <w:t xml:space="preserve"> kn</w:t>
      </w:r>
      <w:r w:rsidRPr="00250FF3">
        <w:rPr>
          <w:rFonts w:ascii="Arial" w:hAnsi="Arial" w:cs="Arial"/>
          <w:sz w:val="18"/>
          <w:szCs w:val="18"/>
        </w:rPr>
        <w:t xml:space="preserve"> ili </w:t>
      </w:r>
      <w:r w:rsidR="008465C5" w:rsidRPr="00250FF3">
        <w:rPr>
          <w:rFonts w:ascii="Arial" w:hAnsi="Arial" w:cs="Arial"/>
          <w:sz w:val="18"/>
          <w:szCs w:val="18"/>
        </w:rPr>
        <w:t>35</w:t>
      </w:r>
      <w:r w:rsidRPr="00250FF3">
        <w:rPr>
          <w:rFonts w:ascii="Arial" w:hAnsi="Arial" w:cs="Arial"/>
          <w:sz w:val="18"/>
          <w:szCs w:val="18"/>
        </w:rPr>
        <w:t xml:space="preserve">% od plana a </w:t>
      </w:r>
      <w:r w:rsidR="008465C5" w:rsidRPr="00250FF3">
        <w:rPr>
          <w:rFonts w:ascii="Arial" w:hAnsi="Arial" w:cs="Arial"/>
          <w:sz w:val="18"/>
          <w:szCs w:val="18"/>
        </w:rPr>
        <w:t>6</w:t>
      </w:r>
      <w:r w:rsidRPr="00250FF3">
        <w:rPr>
          <w:rFonts w:ascii="Arial" w:hAnsi="Arial" w:cs="Arial"/>
          <w:sz w:val="18"/>
          <w:szCs w:val="18"/>
        </w:rPr>
        <w:t xml:space="preserve">% </w:t>
      </w:r>
      <w:r w:rsidR="008465C5" w:rsidRPr="00250FF3">
        <w:rPr>
          <w:rFonts w:ascii="Arial" w:hAnsi="Arial" w:cs="Arial"/>
          <w:sz w:val="18"/>
          <w:szCs w:val="18"/>
        </w:rPr>
        <w:t>manje</w:t>
      </w:r>
      <w:r w:rsidRPr="00250FF3">
        <w:rPr>
          <w:rFonts w:ascii="Arial" w:hAnsi="Arial" w:cs="Arial"/>
          <w:sz w:val="18"/>
          <w:szCs w:val="18"/>
        </w:rPr>
        <w:t xml:space="preserve"> nego u istom razdoblju  prethodne godine. Tu su iskazani prihodi korisnika u iznosu od </w:t>
      </w:r>
      <w:r w:rsidR="002D0C04" w:rsidRPr="00250FF3">
        <w:rPr>
          <w:rFonts w:ascii="Arial" w:hAnsi="Arial" w:cs="Arial"/>
          <w:sz w:val="18"/>
          <w:szCs w:val="18"/>
        </w:rPr>
        <w:t>412.611</w:t>
      </w:r>
      <w:r w:rsidR="006F51F1" w:rsidRPr="00250FF3">
        <w:rPr>
          <w:rFonts w:ascii="Arial" w:hAnsi="Arial" w:cs="Arial"/>
          <w:sz w:val="18"/>
          <w:szCs w:val="18"/>
        </w:rPr>
        <w:t xml:space="preserve"> kn</w:t>
      </w:r>
      <w:r w:rsidRPr="00250FF3">
        <w:rPr>
          <w:rFonts w:ascii="Arial" w:hAnsi="Arial" w:cs="Arial"/>
          <w:sz w:val="18"/>
          <w:szCs w:val="18"/>
        </w:rPr>
        <w:t xml:space="preserve"> (Dječji vrtić Korčula-sufinanciranja cijene usluge vrtića od roditelja).</w:t>
      </w:r>
    </w:p>
    <w:p w14:paraId="660B7B63" w14:textId="77777777" w:rsidR="00335670" w:rsidRPr="00250FF3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0BCA977" w14:textId="5041530F" w:rsidR="00760997" w:rsidRPr="00250FF3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250FF3">
        <w:rPr>
          <w:rFonts w:ascii="Arial" w:hAnsi="Arial" w:cs="Arial"/>
          <w:b/>
          <w:sz w:val="18"/>
          <w:szCs w:val="18"/>
        </w:rPr>
        <w:t>Prihodi od prodaje proizvoda i robe te pruženih usluga i prihodi od donacija (skupina 66</w:t>
      </w:r>
      <w:r w:rsidRPr="00250FF3">
        <w:rPr>
          <w:rFonts w:ascii="Arial" w:hAnsi="Arial" w:cs="Arial"/>
          <w:sz w:val="18"/>
          <w:szCs w:val="18"/>
        </w:rPr>
        <w:t xml:space="preserve">) ostvareni su u iznosu od </w:t>
      </w:r>
      <w:r w:rsidR="008F3957" w:rsidRPr="00250FF3">
        <w:rPr>
          <w:rFonts w:ascii="Arial" w:hAnsi="Arial" w:cs="Arial"/>
          <w:sz w:val="18"/>
          <w:szCs w:val="18"/>
        </w:rPr>
        <w:t>394.634</w:t>
      </w:r>
      <w:r w:rsidR="002379A6" w:rsidRPr="00250FF3">
        <w:rPr>
          <w:rFonts w:ascii="Arial" w:hAnsi="Arial" w:cs="Arial"/>
          <w:sz w:val="18"/>
          <w:szCs w:val="18"/>
        </w:rPr>
        <w:t xml:space="preserve"> kn ili </w:t>
      </w:r>
      <w:r w:rsidR="008F3957" w:rsidRPr="00250FF3">
        <w:rPr>
          <w:rFonts w:ascii="Arial" w:hAnsi="Arial" w:cs="Arial"/>
          <w:sz w:val="18"/>
          <w:szCs w:val="18"/>
        </w:rPr>
        <w:t>27</w:t>
      </w:r>
      <w:r w:rsidR="002379A6" w:rsidRPr="00250FF3">
        <w:rPr>
          <w:rFonts w:ascii="Arial" w:hAnsi="Arial" w:cs="Arial"/>
          <w:sz w:val="18"/>
          <w:szCs w:val="18"/>
        </w:rPr>
        <w:t>% od plana</w:t>
      </w:r>
      <w:r w:rsidR="008F3957" w:rsidRPr="00250FF3">
        <w:rPr>
          <w:rFonts w:ascii="Arial" w:hAnsi="Arial" w:cs="Arial"/>
          <w:sz w:val="18"/>
          <w:szCs w:val="18"/>
        </w:rPr>
        <w:t>,</w:t>
      </w:r>
      <w:r w:rsidR="002379A6" w:rsidRPr="00250FF3">
        <w:rPr>
          <w:rFonts w:ascii="Arial" w:hAnsi="Arial" w:cs="Arial"/>
          <w:sz w:val="18"/>
          <w:szCs w:val="18"/>
        </w:rPr>
        <w:t xml:space="preserve"> a </w:t>
      </w:r>
      <w:r w:rsidR="008F3957" w:rsidRPr="00250FF3">
        <w:rPr>
          <w:rFonts w:ascii="Arial" w:hAnsi="Arial" w:cs="Arial"/>
          <w:sz w:val="18"/>
          <w:szCs w:val="18"/>
        </w:rPr>
        <w:t>98</w:t>
      </w:r>
      <w:r w:rsidRPr="00250FF3">
        <w:rPr>
          <w:rFonts w:ascii="Arial" w:hAnsi="Arial" w:cs="Arial"/>
          <w:sz w:val="18"/>
          <w:szCs w:val="18"/>
        </w:rPr>
        <w:t xml:space="preserve">% </w:t>
      </w:r>
      <w:r w:rsidR="00C840C8" w:rsidRPr="00250FF3">
        <w:rPr>
          <w:rFonts w:ascii="Arial" w:hAnsi="Arial" w:cs="Arial"/>
          <w:sz w:val="18"/>
          <w:szCs w:val="18"/>
        </w:rPr>
        <w:t>više</w:t>
      </w:r>
      <w:r w:rsidRPr="00250FF3">
        <w:rPr>
          <w:rFonts w:ascii="Arial" w:hAnsi="Arial" w:cs="Arial"/>
          <w:sz w:val="18"/>
          <w:szCs w:val="18"/>
        </w:rPr>
        <w:t xml:space="preserve"> nego u istom razdoblju prethodne godine. Pri</w:t>
      </w:r>
      <w:r w:rsidR="002379A6" w:rsidRPr="00250FF3">
        <w:rPr>
          <w:rFonts w:ascii="Arial" w:hAnsi="Arial" w:cs="Arial"/>
          <w:sz w:val="18"/>
          <w:szCs w:val="18"/>
        </w:rPr>
        <w:t xml:space="preserve">hodi ove skupine </w:t>
      </w:r>
      <w:r w:rsidRPr="00250FF3">
        <w:rPr>
          <w:rFonts w:ascii="Arial" w:hAnsi="Arial" w:cs="Arial"/>
          <w:sz w:val="18"/>
          <w:szCs w:val="18"/>
        </w:rPr>
        <w:t>odnose</w:t>
      </w:r>
      <w:r w:rsidR="002379A6" w:rsidRPr="00250FF3">
        <w:rPr>
          <w:rFonts w:ascii="Arial" w:hAnsi="Arial" w:cs="Arial"/>
          <w:sz w:val="18"/>
          <w:szCs w:val="18"/>
        </w:rPr>
        <w:t xml:space="preserve"> se</w:t>
      </w:r>
      <w:r w:rsidRPr="00250FF3">
        <w:rPr>
          <w:rFonts w:ascii="Arial" w:hAnsi="Arial" w:cs="Arial"/>
          <w:sz w:val="18"/>
          <w:szCs w:val="18"/>
        </w:rPr>
        <w:t xml:space="preserve"> </w:t>
      </w:r>
      <w:r w:rsidR="008F3957" w:rsidRPr="00250FF3">
        <w:rPr>
          <w:rFonts w:ascii="Arial" w:hAnsi="Arial" w:cs="Arial"/>
          <w:sz w:val="18"/>
          <w:szCs w:val="18"/>
        </w:rPr>
        <w:t xml:space="preserve">pretežito </w:t>
      </w:r>
      <w:r w:rsidRPr="00250FF3">
        <w:rPr>
          <w:rFonts w:ascii="Arial" w:hAnsi="Arial" w:cs="Arial"/>
          <w:sz w:val="18"/>
          <w:szCs w:val="18"/>
        </w:rPr>
        <w:t>na proračunske korisnike</w:t>
      </w:r>
      <w:r w:rsidR="008F3957" w:rsidRPr="00250FF3">
        <w:rPr>
          <w:rFonts w:ascii="Arial" w:hAnsi="Arial" w:cs="Arial"/>
          <w:sz w:val="18"/>
          <w:szCs w:val="18"/>
        </w:rPr>
        <w:t xml:space="preserve"> 284.184 kn,</w:t>
      </w:r>
      <w:r w:rsidRPr="00250FF3">
        <w:rPr>
          <w:rFonts w:ascii="Arial" w:hAnsi="Arial" w:cs="Arial"/>
          <w:sz w:val="18"/>
          <w:szCs w:val="18"/>
        </w:rPr>
        <w:t xml:space="preserve"> i to pretežito prihode od pruženi</w:t>
      </w:r>
      <w:r w:rsidR="002379A6" w:rsidRPr="00250FF3">
        <w:rPr>
          <w:rFonts w:ascii="Arial" w:hAnsi="Arial" w:cs="Arial"/>
          <w:sz w:val="18"/>
          <w:szCs w:val="18"/>
        </w:rPr>
        <w:t>h usluga proračunskih korisnika te donacije koj</w:t>
      </w:r>
      <w:r w:rsidR="00662F55" w:rsidRPr="00250FF3">
        <w:rPr>
          <w:rFonts w:ascii="Arial" w:hAnsi="Arial" w:cs="Arial"/>
          <w:sz w:val="18"/>
          <w:szCs w:val="18"/>
        </w:rPr>
        <w:t xml:space="preserve">e su ostvarene u iznosu od </w:t>
      </w:r>
      <w:r w:rsidR="008F3957" w:rsidRPr="00250FF3">
        <w:rPr>
          <w:rFonts w:ascii="Arial" w:hAnsi="Arial" w:cs="Arial"/>
          <w:sz w:val="18"/>
          <w:szCs w:val="18"/>
        </w:rPr>
        <w:t>110.450</w:t>
      </w:r>
      <w:r w:rsidR="002379A6" w:rsidRPr="00250FF3">
        <w:rPr>
          <w:rFonts w:ascii="Arial" w:hAnsi="Arial" w:cs="Arial"/>
          <w:sz w:val="18"/>
          <w:szCs w:val="18"/>
        </w:rPr>
        <w:t xml:space="preserve"> kn.</w:t>
      </w:r>
    </w:p>
    <w:p w14:paraId="71AD0C79" w14:textId="77777777" w:rsidR="00335670" w:rsidRPr="00250FF3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BDE516" w14:textId="7DBEB11A" w:rsidR="00760997" w:rsidRPr="00250FF3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250FF3">
        <w:rPr>
          <w:rFonts w:ascii="Arial" w:hAnsi="Arial" w:cs="Arial"/>
          <w:b/>
          <w:sz w:val="18"/>
          <w:szCs w:val="18"/>
        </w:rPr>
        <w:t>Prihodi od kazni, upravnih mjera i ostali prihodi (skupina 68</w:t>
      </w:r>
      <w:r w:rsidRPr="00250FF3">
        <w:rPr>
          <w:rFonts w:ascii="Arial" w:hAnsi="Arial" w:cs="Arial"/>
          <w:sz w:val="18"/>
          <w:szCs w:val="18"/>
        </w:rPr>
        <w:t xml:space="preserve">) ostvareni su s </w:t>
      </w:r>
      <w:r w:rsidR="000B26C6" w:rsidRPr="00250FF3">
        <w:rPr>
          <w:rFonts w:ascii="Arial" w:hAnsi="Arial" w:cs="Arial"/>
          <w:sz w:val="18"/>
          <w:szCs w:val="18"/>
        </w:rPr>
        <w:t>99.184</w:t>
      </w:r>
      <w:r w:rsidR="00F02FF7" w:rsidRPr="00250FF3">
        <w:rPr>
          <w:rFonts w:ascii="Arial" w:hAnsi="Arial" w:cs="Arial"/>
          <w:sz w:val="18"/>
          <w:szCs w:val="18"/>
        </w:rPr>
        <w:t xml:space="preserve"> </w:t>
      </w:r>
      <w:r w:rsidR="002379A6" w:rsidRPr="00250FF3">
        <w:rPr>
          <w:rFonts w:ascii="Arial" w:hAnsi="Arial" w:cs="Arial"/>
          <w:sz w:val="18"/>
          <w:szCs w:val="18"/>
        </w:rPr>
        <w:t>kn</w:t>
      </w:r>
      <w:r w:rsidRPr="00250FF3">
        <w:rPr>
          <w:rFonts w:ascii="Arial" w:hAnsi="Arial" w:cs="Arial"/>
          <w:sz w:val="18"/>
          <w:szCs w:val="18"/>
        </w:rPr>
        <w:t xml:space="preserve"> ili </w:t>
      </w:r>
      <w:r w:rsidR="000B26C6" w:rsidRPr="00250FF3">
        <w:rPr>
          <w:rFonts w:ascii="Arial" w:hAnsi="Arial" w:cs="Arial"/>
          <w:sz w:val="18"/>
          <w:szCs w:val="18"/>
        </w:rPr>
        <w:t>223</w:t>
      </w:r>
      <w:r w:rsidRPr="00250FF3">
        <w:rPr>
          <w:rFonts w:ascii="Arial" w:hAnsi="Arial" w:cs="Arial"/>
          <w:sz w:val="18"/>
          <w:szCs w:val="18"/>
        </w:rPr>
        <w:t xml:space="preserve">% </w:t>
      </w:r>
      <w:r w:rsidR="000B26C6" w:rsidRPr="00250FF3">
        <w:rPr>
          <w:rFonts w:ascii="Arial" w:hAnsi="Arial" w:cs="Arial"/>
          <w:sz w:val="18"/>
          <w:szCs w:val="18"/>
        </w:rPr>
        <w:t>više</w:t>
      </w:r>
      <w:r w:rsidRPr="00250FF3">
        <w:rPr>
          <w:rFonts w:ascii="Arial" w:hAnsi="Arial" w:cs="Arial"/>
          <w:sz w:val="18"/>
          <w:szCs w:val="18"/>
        </w:rPr>
        <w:t xml:space="preserve"> nego prethodne godine, </w:t>
      </w:r>
      <w:r w:rsidR="000B26C6" w:rsidRPr="00250FF3">
        <w:rPr>
          <w:rFonts w:ascii="Arial" w:hAnsi="Arial" w:cs="Arial"/>
          <w:sz w:val="18"/>
          <w:szCs w:val="18"/>
        </w:rPr>
        <w:t>46</w:t>
      </w:r>
      <w:r w:rsidRPr="00250FF3">
        <w:rPr>
          <w:rFonts w:ascii="Arial" w:hAnsi="Arial" w:cs="Arial"/>
          <w:sz w:val="18"/>
          <w:szCs w:val="18"/>
        </w:rPr>
        <w:t>% od plana. Ovi prihodi se odnose na prihode Grada i to prihode od kazni za prometne i ostale prekršaje u nadležnosti MUP-a.</w:t>
      </w:r>
    </w:p>
    <w:p w14:paraId="0B98D7AD" w14:textId="77777777" w:rsidR="00335670" w:rsidRPr="00250FF3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00A794C" w14:textId="5DE208D4" w:rsidR="0050049F" w:rsidRPr="00250FF3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250FF3">
        <w:rPr>
          <w:rFonts w:ascii="Arial" w:hAnsi="Arial" w:cs="Arial"/>
          <w:b/>
          <w:sz w:val="18"/>
          <w:szCs w:val="18"/>
          <w:u w:val="single"/>
        </w:rPr>
        <w:t>Prihodi od prodaje nefinancijske imovine</w:t>
      </w:r>
      <w:r w:rsidRPr="00250FF3">
        <w:rPr>
          <w:rFonts w:ascii="Arial" w:hAnsi="Arial" w:cs="Arial"/>
          <w:b/>
          <w:sz w:val="18"/>
          <w:szCs w:val="18"/>
        </w:rPr>
        <w:t xml:space="preserve"> (razred 7</w:t>
      </w:r>
      <w:r w:rsidRPr="00250FF3">
        <w:rPr>
          <w:rFonts w:ascii="Arial" w:hAnsi="Arial" w:cs="Arial"/>
          <w:sz w:val="18"/>
          <w:szCs w:val="18"/>
        </w:rPr>
        <w:t xml:space="preserve">) ostvareni su s </w:t>
      </w:r>
      <w:r w:rsidR="000B26C6" w:rsidRPr="00250FF3">
        <w:rPr>
          <w:rFonts w:ascii="Arial" w:hAnsi="Arial" w:cs="Arial"/>
          <w:sz w:val="18"/>
          <w:szCs w:val="18"/>
        </w:rPr>
        <w:t>20.384</w:t>
      </w:r>
      <w:r w:rsidR="002379A6" w:rsidRPr="00250FF3">
        <w:rPr>
          <w:rFonts w:ascii="Arial" w:hAnsi="Arial" w:cs="Arial"/>
          <w:sz w:val="18"/>
          <w:szCs w:val="18"/>
        </w:rPr>
        <w:t xml:space="preserve"> kn</w:t>
      </w:r>
      <w:r w:rsidR="004E7495" w:rsidRPr="00250FF3">
        <w:rPr>
          <w:rFonts w:ascii="Arial" w:hAnsi="Arial" w:cs="Arial"/>
          <w:sz w:val="18"/>
          <w:szCs w:val="18"/>
        </w:rPr>
        <w:t>,</w:t>
      </w:r>
      <w:r w:rsidR="00662F55" w:rsidRPr="00250FF3">
        <w:rPr>
          <w:rFonts w:ascii="Arial" w:hAnsi="Arial" w:cs="Arial"/>
          <w:sz w:val="18"/>
          <w:szCs w:val="18"/>
        </w:rPr>
        <w:t xml:space="preserve"> </w:t>
      </w:r>
      <w:r w:rsidR="000B26C6" w:rsidRPr="00250FF3">
        <w:rPr>
          <w:rFonts w:ascii="Arial" w:hAnsi="Arial" w:cs="Arial"/>
          <w:sz w:val="18"/>
          <w:szCs w:val="18"/>
        </w:rPr>
        <w:t>66</w:t>
      </w:r>
      <w:r w:rsidR="00662F55" w:rsidRPr="00250FF3">
        <w:rPr>
          <w:rFonts w:ascii="Arial" w:hAnsi="Arial" w:cs="Arial"/>
          <w:sz w:val="18"/>
          <w:szCs w:val="18"/>
        </w:rPr>
        <w:t xml:space="preserve">% </w:t>
      </w:r>
      <w:r w:rsidR="000B26C6" w:rsidRPr="00250FF3">
        <w:rPr>
          <w:rFonts w:ascii="Arial" w:hAnsi="Arial" w:cs="Arial"/>
          <w:sz w:val="18"/>
          <w:szCs w:val="18"/>
        </w:rPr>
        <w:t>više</w:t>
      </w:r>
      <w:r w:rsidRPr="00250FF3">
        <w:rPr>
          <w:rFonts w:ascii="Arial" w:hAnsi="Arial" w:cs="Arial"/>
          <w:sz w:val="18"/>
          <w:szCs w:val="18"/>
        </w:rPr>
        <w:t xml:space="preserve"> nego prošle godine</w:t>
      </w:r>
      <w:r w:rsidR="00BF5577" w:rsidRPr="00250FF3">
        <w:rPr>
          <w:rFonts w:ascii="Arial" w:hAnsi="Arial" w:cs="Arial"/>
          <w:sz w:val="18"/>
          <w:szCs w:val="18"/>
        </w:rPr>
        <w:t>. Ovi prihod</w:t>
      </w:r>
      <w:r w:rsidR="008D4E62" w:rsidRPr="00250FF3">
        <w:rPr>
          <w:rFonts w:ascii="Arial" w:hAnsi="Arial" w:cs="Arial"/>
          <w:sz w:val="18"/>
          <w:szCs w:val="18"/>
        </w:rPr>
        <w:t xml:space="preserve">i </w:t>
      </w:r>
      <w:r w:rsidR="00BF5577" w:rsidRPr="00250FF3">
        <w:rPr>
          <w:rFonts w:ascii="Arial" w:hAnsi="Arial" w:cs="Arial"/>
          <w:sz w:val="18"/>
          <w:szCs w:val="18"/>
        </w:rPr>
        <w:t xml:space="preserve">odnose se na prodaju stanova </w:t>
      </w:r>
      <w:r w:rsidR="008D4E62" w:rsidRPr="00250FF3">
        <w:rPr>
          <w:rFonts w:ascii="Arial" w:hAnsi="Arial" w:cs="Arial"/>
          <w:sz w:val="18"/>
          <w:szCs w:val="18"/>
        </w:rPr>
        <w:t>u vlasništvu Grada.</w:t>
      </w:r>
      <w:r w:rsidRPr="00250FF3">
        <w:rPr>
          <w:rFonts w:ascii="Arial" w:hAnsi="Arial" w:cs="Arial"/>
          <w:sz w:val="18"/>
          <w:szCs w:val="18"/>
        </w:rPr>
        <w:t xml:space="preserve">  </w:t>
      </w:r>
    </w:p>
    <w:p w14:paraId="0F8BC618" w14:textId="77777777" w:rsidR="00335670" w:rsidRPr="00250FF3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92EC44E" w14:textId="79D3A77E" w:rsidR="00D77BA1" w:rsidRPr="0044293B" w:rsidRDefault="00A56D38" w:rsidP="00335670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250FF3">
        <w:rPr>
          <w:rFonts w:ascii="Arial" w:hAnsi="Arial" w:cs="Arial"/>
          <w:b/>
          <w:sz w:val="18"/>
          <w:szCs w:val="18"/>
          <w:u w:val="single"/>
        </w:rPr>
        <w:t>Primici od zaduživanja</w:t>
      </w:r>
      <w:r w:rsidRPr="00250FF3">
        <w:rPr>
          <w:rFonts w:ascii="Arial" w:hAnsi="Arial" w:cs="Arial"/>
          <w:b/>
          <w:sz w:val="18"/>
          <w:szCs w:val="18"/>
        </w:rPr>
        <w:t xml:space="preserve"> (razred 8) </w:t>
      </w:r>
      <w:r w:rsidR="008D4E62" w:rsidRPr="00250FF3">
        <w:rPr>
          <w:rFonts w:ascii="Arial" w:hAnsi="Arial" w:cs="Arial"/>
          <w:bCs/>
          <w:sz w:val="18"/>
          <w:szCs w:val="18"/>
        </w:rPr>
        <w:t xml:space="preserve">od </w:t>
      </w:r>
      <w:r w:rsidR="00335670" w:rsidRPr="00250FF3">
        <w:rPr>
          <w:rFonts w:ascii="Arial" w:hAnsi="Arial" w:cs="Arial"/>
          <w:bCs/>
          <w:sz w:val="18"/>
          <w:szCs w:val="18"/>
        </w:rPr>
        <w:t xml:space="preserve">realiziranog kredita </w:t>
      </w:r>
      <w:r w:rsidR="008D4E62" w:rsidRPr="00250FF3">
        <w:rPr>
          <w:rFonts w:ascii="Arial" w:hAnsi="Arial" w:cs="Arial"/>
          <w:bCs/>
          <w:sz w:val="18"/>
          <w:szCs w:val="18"/>
        </w:rPr>
        <w:t>HBOR-a</w:t>
      </w:r>
      <w:r w:rsidR="00335670" w:rsidRPr="00250FF3">
        <w:rPr>
          <w:rFonts w:ascii="Arial" w:hAnsi="Arial" w:cs="Arial"/>
          <w:bCs/>
          <w:sz w:val="18"/>
          <w:szCs w:val="18"/>
        </w:rPr>
        <w:t xml:space="preserve"> za EU projekte u iznosu od 14.495.000 kn,</w:t>
      </w:r>
      <w:r w:rsidR="008D4E62" w:rsidRPr="00250FF3">
        <w:rPr>
          <w:rFonts w:ascii="Arial" w:hAnsi="Arial" w:cs="Arial"/>
          <w:bCs/>
          <w:sz w:val="18"/>
          <w:szCs w:val="18"/>
        </w:rPr>
        <w:t xml:space="preserve"> </w:t>
      </w:r>
      <w:r w:rsidR="00335670" w:rsidRPr="00250FF3">
        <w:rPr>
          <w:rFonts w:ascii="Arial" w:hAnsi="Arial" w:cs="Arial"/>
          <w:bCs/>
          <w:sz w:val="18"/>
          <w:szCs w:val="18"/>
        </w:rPr>
        <w:t xml:space="preserve">u ovom razdoblju </w:t>
      </w:r>
      <w:r w:rsidR="008D4E62" w:rsidRPr="00250FF3">
        <w:rPr>
          <w:rFonts w:ascii="Arial" w:hAnsi="Arial" w:cs="Arial"/>
          <w:bCs/>
          <w:sz w:val="18"/>
          <w:szCs w:val="18"/>
        </w:rPr>
        <w:t xml:space="preserve">ostvareni su u iznosu od </w:t>
      </w:r>
      <w:r w:rsidR="00AA372D" w:rsidRPr="00250FF3">
        <w:rPr>
          <w:rFonts w:ascii="Arial" w:hAnsi="Arial" w:cs="Arial"/>
          <w:bCs/>
          <w:sz w:val="18"/>
          <w:szCs w:val="18"/>
        </w:rPr>
        <w:t>1.027.266</w:t>
      </w:r>
      <w:r w:rsidR="008D4E62" w:rsidRPr="00250FF3">
        <w:rPr>
          <w:rFonts w:ascii="Arial" w:hAnsi="Arial" w:cs="Arial"/>
          <w:bCs/>
          <w:sz w:val="18"/>
          <w:szCs w:val="18"/>
        </w:rPr>
        <w:t xml:space="preserve"> kn. </w:t>
      </w:r>
      <w:r w:rsidR="00D77512" w:rsidRPr="00250FF3">
        <w:rPr>
          <w:rFonts w:ascii="Arial" w:hAnsi="Arial" w:cs="Arial"/>
          <w:bCs/>
          <w:sz w:val="18"/>
          <w:szCs w:val="18"/>
        </w:rPr>
        <w:t xml:space="preserve">Primici su </w:t>
      </w:r>
      <w:r w:rsidR="00D77512" w:rsidRPr="00250FF3">
        <w:rPr>
          <w:rFonts w:ascii="Arial" w:eastAsia="Times New Roman" w:hAnsi="Arial" w:cs="Arial"/>
          <w:sz w:val="18"/>
          <w:szCs w:val="18"/>
        </w:rPr>
        <w:t>namijenjeni predfinanciranju kapitalnih projekata sufinanciranih sredstvima iz EU fondova i to: Šetalište Tina Ujevića, obnova kuće Marka Pola, Revitalizacija</w:t>
      </w:r>
      <w:r w:rsidR="00D77512" w:rsidRPr="0044293B">
        <w:rPr>
          <w:rFonts w:ascii="Arial" w:eastAsia="Times New Roman" w:hAnsi="Arial" w:cs="Arial"/>
          <w:sz w:val="18"/>
          <w:szCs w:val="18"/>
        </w:rPr>
        <w:t xml:space="preserve"> obrambenih utvrda Grada Korčule i obnova Gradskog Muzeja.</w:t>
      </w:r>
      <w:r w:rsidR="00335670" w:rsidRPr="0044293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791143D" w14:textId="28A90DF4" w:rsidR="00335670" w:rsidRPr="0044293B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4293B">
        <w:rPr>
          <w:rFonts w:ascii="Arial" w:eastAsia="Times New Roman" w:hAnsi="Arial" w:cs="Arial"/>
          <w:sz w:val="18"/>
          <w:szCs w:val="18"/>
        </w:rPr>
        <w:t>Primici po osnovu kreditnog zaduženja kod HBOR-a za Modernizaciju javne rasvjete</w:t>
      </w:r>
      <w:r w:rsidR="00D77BA1" w:rsidRPr="0044293B">
        <w:rPr>
          <w:rFonts w:ascii="Arial" w:eastAsia="Times New Roman" w:hAnsi="Arial" w:cs="Arial"/>
          <w:sz w:val="18"/>
          <w:szCs w:val="18"/>
        </w:rPr>
        <w:t>,</w:t>
      </w:r>
      <w:r w:rsidRPr="0044293B">
        <w:rPr>
          <w:rFonts w:ascii="Arial" w:hAnsi="Arial" w:cs="Arial"/>
          <w:b/>
          <w:sz w:val="18"/>
          <w:szCs w:val="18"/>
        </w:rPr>
        <w:t xml:space="preserve"> </w:t>
      </w:r>
      <w:r w:rsidR="00A56D38" w:rsidRPr="0044293B">
        <w:rPr>
          <w:rFonts w:ascii="Arial" w:hAnsi="Arial" w:cs="Arial"/>
          <w:sz w:val="18"/>
          <w:szCs w:val="18"/>
        </w:rPr>
        <w:t>pla</w:t>
      </w:r>
      <w:r w:rsidR="00CA0152" w:rsidRPr="0044293B">
        <w:rPr>
          <w:rFonts w:ascii="Arial" w:hAnsi="Arial" w:cs="Arial"/>
          <w:sz w:val="18"/>
          <w:szCs w:val="18"/>
        </w:rPr>
        <w:t>nirani u iznosu od 6.300.000 kn</w:t>
      </w:r>
      <w:r w:rsidRPr="0044293B">
        <w:rPr>
          <w:rFonts w:ascii="Arial" w:hAnsi="Arial" w:cs="Arial"/>
          <w:sz w:val="18"/>
          <w:szCs w:val="18"/>
        </w:rPr>
        <w:t>,</w:t>
      </w:r>
      <w:r w:rsidR="00A56D38" w:rsidRPr="0044293B">
        <w:rPr>
          <w:rFonts w:ascii="Arial" w:hAnsi="Arial" w:cs="Arial"/>
          <w:sz w:val="18"/>
          <w:szCs w:val="18"/>
        </w:rPr>
        <w:t xml:space="preserve"> </w:t>
      </w:r>
      <w:r w:rsidR="00AA372D">
        <w:rPr>
          <w:rFonts w:ascii="Arial" w:hAnsi="Arial" w:cs="Arial"/>
          <w:sz w:val="18"/>
          <w:szCs w:val="18"/>
        </w:rPr>
        <w:t>u ovom su razdoblju započeti s ostvarenjem te iznose 3.459.333 kn.</w:t>
      </w:r>
    </w:p>
    <w:p w14:paraId="571D2EF4" w14:textId="4D2F9E32" w:rsidR="004C2A67" w:rsidRPr="004C2A67" w:rsidRDefault="00335670" w:rsidP="004C2A67">
      <w:pPr>
        <w:spacing w:after="0"/>
        <w:jc w:val="both"/>
        <w:rPr>
          <w:rFonts w:ascii="Arial" w:hAnsi="Arial" w:cs="Arial"/>
          <w:sz w:val="18"/>
          <w:szCs w:val="18"/>
        </w:rPr>
      </w:pPr>
      <w:r w:rsidRPr="0044293B">
        <w:rPr>
          <w:rFonts w:ascii="Arial" w:hAnsi="Arial" w:cs="Arial"/>
          <w:sz w:val="18"/>
          <w:szCs w:val="18"/>
        </w:rPr>
        <w:t xml:space="preserve">U odnosu na plan, </w:t>
      </w:r>
      <w:r w:rsidR="00022F14" w:rsidRPr="0044293B">
        <w:rPr>
          <w:rFonts w:ascii="Arial" w:hAnsi="Arial" w:cs="Arial"/>
          <w:sz w:val="18"/>
          <w:szCs w:val="18"/>
        </w:rPr>
        <w:t xml:space="preserve">primici su ostvareni </w:t>
      </w:r>
      <w:r w:rsidR="00D77BA1" w:rsidRPr="0044293B">
        <w:rPr>
          <w:rFonts w:ascii="Arial" w:hAnsi="Arial" w:cs="Arial"/>
          <w:sz w:val="18"/>
          <w:szCs w:val="18"/>
        </w:rPr>
        <w:t xml:space="preserve">s </w:t>
      </w:r>
      <w:r w:rsidR="00022F14" w:rsidRPr="0044293B">
        <w:rPr>
          <w:rFonts w:ascii="Arial" w:hAnsi="Arial" w:cs="Arial"/>
          <w:sz w:val="18"/>
          <w:szCs w:val="18"/>
        </w:rPr>
        <w:t>8</w:t>
      </w:r>
      <w:r w:rsidR="00AA372D">
        <w:rPr>
          <w:rFonts w:ascii="Arial" w:hAnsi="Arial" w:cs="Arial"/>
          <w:sz w:val="18"/>
          <w:szCs w:val="18"/>
        </w:rPr>
        <w:t>2</w:t>
      </w:r>
      <w:r w:rsidR="00022F14" w:rsidRPr="0044293B">
        <w:rPr>
          <w:rFonts w:ascii="Arial" w:hAnsi="Arial" w:cs="Arial"/>
          <w:sz w:val="18"/>
          <w:szCs w:val="18"/>
        </w:rPr>
        <w:t>%</w:t>
      </w:r>
      <w:r w:rsidR="00C532E3">
        <w:rPr>
          <w:rFonts w:ascii="Arial" w:hAnsi="Arial" w:cs="Arial"/>
          <w:sz w:val="18"/>
          <w:szCs w:val="18"/>
        </w:rPr>
        <w:t>.</w:t>
      </w:r>
    </w:p>
    <w:p w14:paraId="170ED321" w14:textId="25FA85D9" w:rsidR="00F02FF7" w:rsidRDefault="00F02FF7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6ED96A6" w14:textId="33B9165A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E9B4F70" w14:textId="0743663D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3FB5F0E0" w14:textId="41E69C7D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70E3C74" w14:textId="08320E34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6D4A3CAA" w14:textId="77777777" w:rsidR="00C532E3" w:rsidRDefault="00C532E3" w:rsidP="00636131">
      <w:pPr>
        <w:rPr>
          <w:rFonts w:ascii="Arial" w:hAnsi="Arial" w:cs="Arial"/>
          <w:b/>
          <w:i/>
          <w:sz w:val="20"/>
          <w:szCs w:val="20"/>
        </w:rPr>
      </w:pPr>
    </w:p>
    <w:p w14:paraId="5895B456" w14:textId="7851983C" w:rsidR="00636131" w:rsidRPr="0044293B" w:rsidRDefault="00636131" w:rsidP="00636131">
      <w:pPr>
        <w:rPr>
          <w:rFonts w:ascii="Arial" w:hAnsi="Arial" w:cs="Arial"/>
          <w:b/>
          <w:i/>
          <w:sz w:val="20"/>
          <w:szCs w:val="20"/>
        </w:rPr>
      </w:pPr>
      <w:r w:rsidRPr="00250FF3">
        <w:rPr>
          <w:rFonts w:ascii="Arial" w:hAnsi="Arial" w:cs="Arial"/>
          <w:b/>
          <w:i/>
          <w:sz w:val="20"/>
          <w:szCs w:val="20"/>
        </w:rPr>
        <w:lastRenderedPageBreak/>
        <w:t>Prihodi ustanova, korisnika</w:t>
      </w:r>
      <w:r w:rsidRPr="0044293B">
        <w:rPr>
          <w:rFonts w:ascii="Arial" w:hAnsi="Arial" w:cs="Arial"/>
          <w:b/>
          <w:i/>
          <w:sz w:val="20"/>
          <w:szCs w:val="20"/>
        </w:rPr>
        <w:t xml:space="preserve"> Proračuna su ostvareni kako slijedi:   </w:t>
      </w:r>
    </w:p>
    <w:tbl>
      <w:tblPr>
        <w:tblW w:w="11620" w:type="dxa"/>
        <w:tblInd w:w="118" w:type="dxa"/>
        <w:tblLook w:val="04A0" w:firstRow="1" w:lastRow="0" w:firstColumn="1" w:lastColumn="0" w:noHBand="0" w:noVBand="1"/>
      </w:tblPr>
      <w:tblGrid>
        <w:gridCol w:w="2620"/>
        <w:gridCol w:w="1480"/>
        <w:gridCol w:w="1320"/>
        <w:gridCol w:w="1320"/>
        <w:gridCol w:w="1660"/>
        <w:gridCol w:w="1340"/>
        <w:gridCol w:w="1880"/>
      </w:tblGrid>
      <w:tr w:rsidR="00B12DAE" w:rsidRPr="00B12DAE" w14:paraId="02BA0FAB" w14:textId="77777777" w:rsidTr="00B12DAE">
        <w:trPr>
          <w:trHeight w:val="300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E97F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381F4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D5F28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VLASTITI  I OSTALI  PRIHODI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6290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 PRORAČUNA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10C5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OSTALI PRIHODI  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231E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VIŠAK / MANJAK</w:t>
            </w:r>
          </w:p>
        </w:tc>
      </w:tr>
      <w:tr w:rsidR="00B12DAE" w:rsidRPr="00B12DAE" w14:paraId="49616445" w14:textId="77777777" w:rsidTr="00B12DAE">
        <w:trPr>
          <w:trHeight w:val="315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7B776" w14:textId="77777777" w:rsidR="00B12DAE" w:rsidRPr="00B12DAE" w:rsidRDefault="00B12DAE" w:rsidP="00B12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60761" w14:textId="77777777" w:rsidR="00B12DAE" w:rsidRPr="00B12DAE" w:rsidRDefault="00B12DAE" w:rsidP="00B12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5F918" w14:textId="77777777" w:rsidR="00B12DAE" w:rsidRPr="00B12DAE" w:rsidRDefault="00B12DAE" w:rsidP="00B12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1D3ED" w14:textId="77777777" w:rsidR="00B12DAE" w:rsidRPr="00B12DAE" w:rsidRDefault="00B12DAE" w:rsidP="00B12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C0C82" w14:textId="77777777" w:rsidR="00B12DAE" w:rsidRPr="00B12DAE" w:rsidRDefault="00B12DAE" w:rsidP="00B12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8FCC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sadržan u prihodima</w:t>
            </w:r>
            <w:r w:rsidRPr="00B12D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  </w:t>
            </w:r>
          </w:p>
        </w:tc>
      </w:tr>
      <w:tr w:rsidR="00B12DAE" w:rsidRPr="00B12DAE" w14:paraId="62276D24" w14:textId="77777777" w:rsidTr="00B12DA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78C5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5DEE8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52CBE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5349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1F555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813E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3E650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</w:tr>
      <w:tr w:rsidR="00B12DAE" w:rsidRPr="00B12DAE" w14:paraId="6E7A46AB" w14:textId="77777777" w:rsidTr="00B12DA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2F55E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BD138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1(2+3)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226A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32AE1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0C2A6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03AB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174CA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B12DAE" w:rsidRPr="00B12DAE" w14:paraId="456B1CB6" w14:textId="77777777" w:rsidTr="00B12DA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ED6E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27099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562.387,24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67D0B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291.412,00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D25C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118.623,38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D237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443.763,86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43B3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FFAF3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15.137,90</w:t>
            </w:r>
          </w:p>
        </w:tc>
      </w:tr>
      <w:tr w:rsidR="00B12DAE" w:rsidRPr="00B12DAE" w14:paraId="2369FB81" w14:textId="77777777" w:rsidTr="00B12DA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94331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76CE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384.980,11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1AC08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77A9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83.474,27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768B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301.505,84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9EC5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54.939,69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FB11A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-6.371,31</w:t>
            </w:r>
          </w:p>
        </w:tc>
      </w:tr>
      <w:tr w:rsidR="00B12DAE" w:rsidRPr="00B12DAE" w14:paraId="55BED767" w14:textId="77777777" w:rsidTr="00B12DA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3B29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46FAF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2.232.700,80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539C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1.106.514,00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D42A3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643.563,27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658C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1.589.137,53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68EE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161.860,79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C275D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127.514,46</w:t>
            </w:r>
          </w:p>
        </w:tc>
      </w:tr>
      <w:tr w:rsidR="00B12DAE" w:rsidRPr="00B12DAE" w14:paraId="47A387E5" w14:textId="77777777" w:rsidTr="00B12DA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623D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76D24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401.611,41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D3A5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608.400,00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4B6A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83.744,80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FF9F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317.866,61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2FA2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50.118,41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2E85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13.434,55</w:t>
            </w:r>
          </w:p>
        </w:tc>
      </w:tr>
      <w:tr w:rsidR="00B12DAE" w:rsidRPr="00B12DAE" w14:paraId="04AFDD94" w14:textId="77777777" w:rsidTr="00B12DA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4563" w14:textId="77777777" w:rsidR="00B12DAE" w:rsidRPr="00B12DAE" w:rsidRDefault="00B12DAE" w:rsidP="00B12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Ustanova Športski objekti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E811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1.792.970,50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ACBD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DC352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212.973,64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19F2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1.579.996,86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4E19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792.156,25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1895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730.151,32</w:t>
            </w:r>
          </w:p>
        </w:tc>
      </w:tr>
      <w:tr w:rsidR="00B12DAE" w:rsidRPr="00B12DAE" w14:paraId="1D49FBE9" w14:textId="77777777" w:rsidTr="00B12DA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3B3F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E0D7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5.374.650,06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62BD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2.681.326,00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79CD7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1.142.379,36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B613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4.232.270,70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EC2A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1.059.474,65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EB6F" w14:textId="77777777" w:rsidR="00B12DAE" w:rsidRPr="00B12DAE" w:rsidRDefault="00B12DAE" w:rsidP="00B12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2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879.871,92</w:t>
            </w:r>
          </w:p>
        </w:tc>
      </w:tr>
    </w:tbl>
    <w:p w14:paraId="68392CCB" w14:textId="77777777" w:rsidR="00C532E3" w:rsidRPr="00C532E3" w:rsidRDefault="00C532E3" w:rsidP="00C532E3"/>
    <w:p w14:paraId="0C182922" w14:textId="57343F96" w:rsidR="00520CB9" w:rsidRDefault="000965BC" w:rsidP="00036AC9">
      <w:pPr>
        <w:rPr>
          <w:noProof/>
        </w:rPr>
      </w:pPr>
      <w:r>
        <w:rPr>
          <w:noProof/>
        </w:rPr>
        <w:drawing>
          <wp:inline distT="0" distB="0" distL="0" distR="0" wp14:anchorId="0A784AD1" wp14:editId="4DCDF5BA">
            <wp:extent cx="5429250" cy="3581401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FE9C2C" w14:textId="64BEF05E" w:rsidR="00760997" w:rsidRPr="00520CB9" w:rsidRDefault="00760997" w:rsidP="00036AC9">
      <w:pPr>
        <w:rPr>
          <w:noProof/>
        </w:rPr>
      </w:pPr>
      <w:r w:rsidRPr="00D25992">
        <w:rPr>
          <w:rFonts w:ascii="Arial" w:hAnsi="Arial" w:cs="Arial"/>
          <w:b/>
          <w:i/>
          <w:sz w:val="20"/>
          <w:szCs w:val="20"/>
          <w:u w:val="single"/>
        </w:rPr>
        <w:lastRenderedPageBreak/>
        <w:t>O rashodima</w:t>
      </w:r>
      <w:r w:rsidRPr="00CE316F">
        <w:rPr>
          <w:rFonts w:ascii="Arial" w:hAnsi="Arial" w:cs="Arial"/>
          <w:b/>
          <w:i/>
          <w:sz w:val="20"/>
          <w:szCs w:val="20"/>
          <w:u w:val="single"/>
        </w:rPr>
        <w:t xml:space="preserve"> i izdacima</w:t>
      </w:r>
      <w:r w:rsidRPr="00CE316F">
        <w:rPr>
          <w:rFonts w:ascii="Arial" w:hAnsi="Arial" w:cs="Arial"/>
          <w:b/>
          <w:sz w:val="20"/>
          <w:szCs w:val="20"/>
          <w:u w:val="single"/>
        </w:rPr>
        <w:t>:</w:t>
      </w:r>
    </w:p>
    <w:p w14:paraId="4EBA3C3E" w14:textId="2823AE6D" w:rsidR="00760997" w:rsidRPr="00884312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 xml:space="preserve">Rashodi i izdaci su izvršeni u visini od </w:t>
      </w:r>
      <w:r w:rsidR="00D22077" w:rsidRPr="00884312">
        <w:rPr>
          <w:rFonts w:ascii="Arial" w:hAnsi="Arial" w:cs="Arial"/>
          <w:sz w:val="18"/>
          <w:szCs w:val="18"/>
        </w:rPr>
        <w:t>2</w:t>
      </w:r>
      <w:r w:rsidR="001C6C3A" w:rsidRPr="00884312">
        <w:rPr>
          <w:rFonts w:ascii="Arial" w:hAnsi="Arial" w:cs="Arial"/>
          <w:sz w:val="18"/>
          <w:szCs w:val="18"/>
        </w:rPr>
        <w:t>9.090.782</w:t>
      </w:r>
      <w:r w:rsidR="003672B7" w:rsidRPr="00884312">
        <w:rPr>
          <w:rFonts w:ascii="Arial" w:hAnsi="Arial" w:cs="Arial"/>
          <w:sz w:val="18"/>
          <w:szCs w:val="18"/>
        </w:rPr>
        <w:t xml:space="preserve"> kn</w:t>
      </w:r>
      <w:r w:rsidRPr="00884312">
        <w:rPr>
          <w:rFonts w:ascii="Arial" w:hAnsi="Arial" w:cs="Arial"/>
          <w:sz w:val="18"/>
          <w:szCs w:val="18"/>
        </w:rPr>
        <w:t xml:space="preserve"> ili </w:t>
      </w:r>
      <w:r w:rsidR="00BB1677" w:rsidRPr="00884312">
        <w:rPr>
          <w:rFonts w:ascii="Arial" w:hAnsi="Arial" w:cs="Arial"/>
          <w:sz w:val="18"/>
          <w:szCs w:val="18"/>
        </w:rPr>
        <w:t>3</w:t>
      </w:r>
      <w:r w:rsidR="001C6C3A" w:rsidRPr="00884312">
        <w:rPr>
          <w:rFonts w:ascii="Arial" w:hAnsi="Arial" w:cs="Arial"/>
          <w:sz w:val="18"/>
          <w:szCs w:val="18"/>
        </w:rPr>
        <w:t>8</w:t>
      </w:r>
      <w:r w:rsidRPr="00884312">
        <w:rPr>
          <w:rFonts w:ascii="Arial" w:hAnsi="Arial" w:cs="Arial"/>
          <w:sz w:val="18"/>
          <w:szCs w:val="18"/>
        </w:rPr>
        <w:t xml:space="preserve">% u odnosu na planirano a </w:t>
      </w:r>
      <w:r w:rsidR="00BB1677" w:rsidRPr="00884312">
        <w:rPr>
          <w:rFonts w:ascii="Arial" w:hAnsi="Arial" w:cs="Arial"/>
          <w:sz w:val="18"/>
          <w:szCs w:val="18"/>
        </w:rPr>
        <w:t>3</w:t>
      </w:r>
      <w:r w:rsidR="001C6C3A" w:rsidRPr="00884312">
        <w:rPr>
          <w:rFonts w:ascii="Arial" w:hAnsi="Arial" w:cs="Arial"/>
          <w:sz w:val="18"/>
          <w:szCs w:val="18"/>
        </w:rPr>
        <w:t>0</w:t>
      </w:r>
      <w:r w:rsidRPr="00884312">
        <w:rPr>
          <w:rFonts w:ascii="Arial" w:hAnsi="Arial" w:cs="Arial"/>
          <w:sz w:val="18"/>
          <w:szCs w:val="18"/>
        </w:rPr>
        <w:t xml:space="preserve">% </w:t>
      </w:r>
      <w:r w:rsidR="00BB1677" w:rsidRPr="00884312">
        <w:rPr>
          <w:rFonts w:ascii="Arial" w:hAnsi="Arial" w:cs="Arial"/>
          <w:sz w:val="18"/>
          <w:szCs w:val="18"/>
        </w:rPr>
        <w:t>više</w:t>
      </w:r>
      <w:r w:rsidRPr="00884312">
        <w:rPr>
          <w:rFonts w:ascii="Arial" w:hAnsi="Arial" w:cs="Arial"/>
          <w:sz w:val="18"/>
          <w:szCs w:val="18"/>
        </w:rPr>
        <w:t xml:space="preserve"> nego u istom razdoblju prethodne godine. Od tog iznosa </w:t>
      </w:r>
      <w:r w:rsidR="00EC2B8F" w:rsidRPr="00884312">
        <w:rPr>
          <w:rFonts w:ascii="Arial" w:hAnsi="Arial" w:cs="Arial"/>
          <w:sz w:val="18"/>
          <w:szCs w:val="18"/>
        </w:rPr>
        <w:t>5.227.908</w:t>
      </w:r>
      <w:r w:rsidR="00286202" w:rsidRPr="00884312">
        <w:rPr>
          <w:rFonts w:ascii="Arial" w:hAnsi="Arial" w:cs="Arial"/>
          <w:sz w:val="18"/>
          <w:szCs w:val="18"/>
        </w:rPr>
        <w:t xml:space="preserve"> kn</w:t>
      </w:r>
      <w:r w:rsidRPr="00884312">
        <w:rPr>
          <w:rFonts w:ascii="Arial" w:hAnsi="Arial" w:cs="Arial"/>
          <w:sz w:val="18"/>
          <w:szCs w:val="18"/>
        </w:rPr>
        <w:t xml:space="preserve"> su rashodi ustanova korisnika Proračuna.</w:t>
      </w:r>
    </w:p>
    <w:p w14:paraId="59A604E4" w14:textId="0DDBB0AC" w:rsidR="00760997" w:rsidRPr="00884312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b/>
          <w:sz w:val="18"/>
          <w:szCs w:val="18"/>
          <w:u w:val="single"/>
        </w:rPr>
        <w:t>Rashodi poslovanja</w:t>
      </w:r>
      <w:r w:rsidRPr="00884312">
        <w:rPr>
          <w:rFonts w:ascii="Arial" w:hAnsi="Arial" w:cs="Arial"/>
          <w:b/>
          <w:sz w:val="18"/>
          <w:szCs w:val="18"/>
        </w:rPr>
        <w:t xml:space="preserve"> (razred 3</w:t>
      </w:r>
      <w:r w:rsidR="00842EFC" w:rsidRPr="00884312">
        <w:rPr>
          <w:rFonts w:ascii="Arial" w:hAnsi="Arial" w:cs="Arial"/>
          <w:sz w:val="18"/>
          <w:szCs w:val="18"/>
        </w:rPr>
        <w:t xml:space="preserve">) iznose </w:t>
      </w:r>
      <w:r w:rsidR="000F4158" w:rsidRPr="00884312">
        <w:rPr>
          <w:rFonts w:ascii="Arial" w:hAnsi="Arial" w:cs="Arial"/>
          <w:sz w:val="18"/>
          <w:szCs w:val="18"/>
        </w:rPr>
        <w:t>13.017.793</w:t>
      </w:r>
      <w:r w:rsidR="004A6BC3" w:rsidRPr="00884312">
        <w:rPr>
          <w:rFonts w:ascii="Arial" w:hAnsi="Arial" w:cs="Arial"/>
          <w:sz w:val="18"/>
          <w:szCs w:val="18"/>
        </w:rPr>
        <w:t xml:space="preserve"> kn</w:t>
      </w:r>
      <w:r w:rsidRPr="00884312">
        <w:rPr>
          <w:rFonts w:ascii="Arial" w:hAnsi="Arial" w:cs="Arial"/>
          <w:sz w:val="18"/>
          <w:szCs w:val="18"/>
        </w:rPr>
        <w:t xml:space="preserve"> ili </w:t>
      </w:r>
      <w:r w:rsidR="00DC4E34" w:rsidRPr="00884312">
        <w:rPr>
          <w:rFonts w:ascii="Arial" w:hAnsi="Arial" w:cs="Arial"/>
          <w:sz w:val="18"/>
          <w:szCs w:val="18"/>
        </w:rPr>
        <w:t>4</w:t>
      </w:r>
      <w:r w:rsidR="000F4158" w:rsidRPr="00884312">
        <w:rPr>
          <w:rFonts w:ascii="Arial" w:hAnsi="Arial" w:cs="Arial"/>
          <w:sz w:val="18"/>
          <w:szCs w:val="18"/>
        </w:rPr>
        <w:t>5</w:t>
      </w:r>
      <w:r w:rsidRPr="00884312">
        <w:rPr>
          <w:rFonts w:ascii="Arial" w:hAnsi="Arial" w:cs="Arial"/>
          <w:sz w:val="18"/>
          <w:szCs w:val="18"/>
        </w:rPr>
        <w:t>% od planiranog</w:t>
      </w:r>
      <w:r w:rsidR="000F4158" w:rsidRPr="00884312">
        <w:rPr>
          <w:rFonts w:ascii="Arial" w:hAnsi="Arial" w:cs="Arial"/>
          <w:sz w:val="18"/>
          <w:szCs w:val="18"/>
        </w:rPr>
        <w:t>,</w:t>
      </w:r>
      <w:r w:rsidRPr="00884312">
        <w:rPr>
          <w:rFonts w:ascii="Arial" w:hAnsi="Arial" w:cs="Arial"/>
          <w:sz w:val="18"/>
          <w:szCs w:val="18"/>
        </w:rPr>
        <w:t xml:space="preserve"> a </w:t>
      </w:r>
      <w:r w:rsidR="000F4158" w:rsidRPr="00884312">
        <w:rPr>
          <w:rFonts w:ascii="Arial" w:hAnsi="Arial" w:cs="Arial"/>
          <w:sz w:val="18"/>
          <w:szCs w:val="18"/>
        </w:rPr>
        <w:t>19</w:t>
      </w:r>
      <w:r w:rsidRPr="00884312">
        <w:rPr>
          <w:rFonts w:ascii="Arial" w:hAnsi="Arial" w:cs="Arial"/>
          <w:sz w:val="18"/>
          <w:szCs w:val="18"/>
        </w:rPr>
        <w:t xml:space="preserve">% </w:t>
      </w:r>
      <w:r w:rsidR="00DC4E34" w:rsidRPr="00884312">
        <w:rPr>
          <w:rFonts w:ascii="Arial" w:hAnsi="Arial" w:cs="Arial"/>
          <w:sz w:val="18"/>
          <w:szCs w:val="18"/>
        </w:rPr>
        <w:t>više</w:t>
      </w:r>
      <w:r w:rsidRPr="00884312">
        <w:rPr>
          <w:rFonts w:ascii="Arial" w:hAnsi="Arial" w:cs="Arial"/>
          <w:sz w:val="18"/>
          <w:szCs w:val="18"/>
        </w:rPr>
        <w:t xml:space="preserve"> nego u istom razdoblju prethodne godine. Od ovog iznosa </w:t>
      </w:r>
      <w:r w:rsidR="00EC2B8F" w:rsidRPr="00884312">
        <w:rPr>
          <w:rFonts w:ascii="Arial" w:hAnsi="Arial" w:cs="Arial"/>
          <w:sz w:val="18"/>
          <w:szCs w:val="18"/>
        </w:rPr>
        <w:t>5.132.530</w:t>
      </w:r>
      <w:r w:rsidR="003D634A" w:rsidRPr="00884312">
        <w:rPr>
          <w:rFonts w:ascii="Arial" w:hAnsi="Arial" w:cs="Arial"/>
          <w:sz w:val="18"/>
          <w:szCs w:val="18"/>
        </w:rPr>
        <w:t xml:space="preserve"> kn</w:t>
      </w:r>
      <w:r w:rsidR="00D15C85" w:rsidRPr="00884312">
        <w:rPr>
          <w:rFonts w:ascii="Arial" w:hAnsi="Arial" w:cs="Arial"/>
          <w:sz w:val="18"/>
          <w:szCs w:val="18"/>
        </w:rPr>
        <w:t xml:space="preserve"> odnosi se </w:t>
      </w:r>
      <w:r w:rsidRPr="00884312">
        <w:rPr>
          <w:rFonts w:ascii="Arial" w:hAnsi="Arial" w:cs="Arial"/>
          <w:sz w:val="18"/>
          <w:szCs w:val="18"/>
        </w:rPr>
        <w:t>na ustanove korisnike Proračuna.</w:t>
      </w:r>
    </w:p>
    <w:p w14:paraId="5F35AB86" w14:textId="77777777" w:rsidR="00C405BF" w:rsidRPr="00884312" w:rsidRDefault="00760997" w:rsidP="00C405B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884312">
        <w:rPr>
          <w:rFonts w:ascii="Arial" w:hAnsi="Arial" w:cs="Arial"/>
          <w:b/>
          <w:sz w:val="18"/>
          <w:szCs w:val="18"/>
          <w:u w:val="single"/>
        </w:rPr>
        <w:t>Rashodi za nabavu nefinancijske imovine</w:t>
      </w:r>
      <w:r w:rsidRPr="00884312">
        <w:rPr>
          <w:rFonts w:ascii="Arial" w:hAnsi="Arial" w:cs="Arial"/>
          <w:sz w:val="18"/>
          <w:szCs w:val="18"/>
          <w:u w:val="single"/>
        </w:rPr>
        <w:t xml:space="preserve"> </w:t>
      </w:r>
      <w:r w:rsidRPr="00884312">
        <w:rPr>
          <w:rFonts w:ascii="Arial" w:hAnsi="Arial" w:cs="Arial"/>
          <w:b/>
          <w:sz w:val="18"/>
          <w:szCs w:val="18"/>
          <w:u w:val="single"/>
        </w:rPr>
        <w:t>(razred 4)</w:t>
      </w:r>
      <w:r w:rsidRPr="00884312">
        <w:rPr>
          <w:rFonts w:ascii="Arial" w:hAnsi="Arial" w:cs="Arial"/>
          <w:sz w:val="18"/>
          <w:szCs w:val="18"/>
        </w:rPr>
        <w:t xml:space="preserve"> ostvareni su u iznosu od </w:t>
      </w:r>
      <w:r w:rsidR="001B29BF" w:rsidRPr="00884312">
        <w:rPr>
          <w:rFonts w:ascii="Arial" w:hAnsi="Arial" w:cs="Arial"/>
          <w:sz w:val="18"/>
          <w:szCs w:val="18"/>
        </w:rPr>
        <w:t>9.857.484</w:t>
      </w:r>
      <w:r w:rsidR="003D634A" w:rsidRPr="00884312">
        <w:rPr>
          <w:rFonts w:ascii="Arial" w:hAnsi="Arial" w:cs="Arial"/>
          <w:sz w:val="18"/>
          <w:szCs w:val="18"/>
        </w:rPr>
        <w:t xml:space="preserve"> kn</w:t>
      </w:r>
      <w:r w:rsidRPr="00884312">
        <w:rPr>
          <w:rFonts w:ascii="Arial" w:hAnsi="Arial" w:cs="Arial"/>
          <w:sz w:val="18"/>
          <w:szCs w:val="18"/>
        </w:rPr>
        <w:t xml:space="preserve"> ili </w:t>
      </w:r>
      <w:r w:rsidR="001B29BF" w:rsidRPr="00884312">
        <w:rPr>
          <w:rFonts w:ascii="Arial" w:hAnsi="Arial" w:cs="Arial"/>
          <w:sz w:val="18"/>
          <w:szCs w:val="18"/>
        </w:rPr>
        <w:t>26</w:t>
      </w:r>
      <w:r w:rsidR="003D634A" w:rsidRPr="00884312">
        <w:rPr>
          <w:rFonts w:ascii="Arial" w:hAnsi="Arial" w:cs="Arial"/>
          <w:sz w:val="18"/>
          <w:szCs w:val="18"/>
        </w:rPr>
        <w:t>%</w:t>
      </w:r>
      <w:r w:rsidRPr="00884312">
        <w:rPr>
          <w:rFonts w:ascii="Arial" w:hAnsi="Arial" w:cs="Arial"/>
          <w:sz w:val="18"/>
          <w:szCs w:val="18"/>
        </w:rPr>
        <w:t xml:space="preserve"> od plana a </w:t>
      </w:r>
      <w:r w:rsidR="001B29BF" w:rsidRPr="00884312">
        <w:rPr>
          <w:rFonts w:ascii="Arial" w:hAnsi="Arial" w:cs="Arial"/>
          <w:sz w:val="18"/>
          <w:szCs w:val="18"/>
        </w:rPr>
        <w:t>11</w:t>
      </w:r>
      <w:r w:rsidRPr="00884312">
        <w:rPr>
          <w:rFonts w:ascii="Arial" w:hAnsi="Arial" w:cs="Arial"/>
          <w:sz w:val="18"/>
          <w:szCs w:val="18"/>
        </w:rPr>
        <w:t xml:space="preserve">% </w:t>
      </w:r>
      <w:r w:rsidR="001B29BF" w:rsidRPr="00884312">
        <w:rPr>
          <w:rFonts w:ascii="Arial" w:hAnsi="Arial" w:cs="Arial"/>
          <w:sz w:val="18"/>
          <w:szCs w:val="18"/>
        </w:rPr>
        <w:t>manje</w:t>
      </w:r>
      <w:r w:rsidRPr="00884312">
        <w:rPr>
          <w:rFonts w:ascii="Arial" w:hAnsi="Arial" w:cs="Arial"/>
          <w:sz w:val="18"/>
          <w:szCs w:val="18"/>
        </w:rPr>
        <w:t xml:space="preserve"> nego u istom razdoblju prethodne godine.</w:t>
      </w:r>
      <w:r w:rsidRPr="00884312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9E09105" w14:textId="3ECD25F3" w:rsidR="001B29BF" w:rsidRPr="00884312" w:rsidRDefault="00DF6253" w:rsidP="00C405B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Ovi rashodi se</w:t>
      </w:r>
      <w:r w:rsidR="00C405BF" w:rsidRPr="00884312">
        <w:rPr>
          <w:rFonts w:ascii="Arial" w:hAnsi="Arial" w:cs="Arial"/>
          <w:sz w:val="18"/>
          <w:szCs w:val="18"/>
        </w:rPr>
        <w:t xml:space="preserve"> </w:t>
      </w:r>
      <w:r w:rsidR="00760997" w:rsidRPr="00884312">
        <w:rPr>
          <w:rFonts w:ascii="Arial" w:hAnsi="Arial" w:cs="Arial"/>
          <w:sz w:val="18"/>
          <w:szCs w:val="18"/>
        </w:rPr>
        <w:t>odnose na</w:t>
      </w:r>
      <w:r w:rsidR="001B29BF" w:rsidRPr="00884312">
        <w:rPr>
          <w:rFonts w:ascii="Arial" w:hAnsi="Arial" w:cs="Arial"/>
          <w:sz w:val="18"/>
          <w:szCs w:val="18"/>
        </w:rPr>
        <w:t xml:space="preserve">: </w:t>
      </w:r>
    </w:p>
    <w:p w14:paraId="2457DA5C" w14:textId="77777777" w:rsidR="001B29BF" w:rsidRPr="00884312" w:rsidRDefault="001B29B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 xml:space="preserve">Modernizaciju javne rasvjete 5.368.844 kn, </w:t>
      </w:r>
    </w:p>
    <w:p w14:paraId="4CEB23A3" w14:textId="25317011" w:rsidR="001B29BF" w:rsidRPr="00884312" w:rsidRDefault="001B29B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 xml:space="preserve">obnovu kuće Marka Pola 1.335.914 kn, </w:t>
      </w:r>
    </w:p>
    <w:p w14:paraId="3CA22F9B" w14:textId="272BD473" w:rsidR="001B29BF" w:rsidRPr="00884312" w:rsidRDefault="001B29B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opremanje interpretacijskog centra kuće Marka Pola i informatizaciju Grada 905.250 kn,</w:t>
      </w:r>
    </w:p>
    <w:p w14:paraId="62D17A10" w14:textId="3AF6458C" w:rsidR="001B29BF" w:rsidRPr="00884312" w:rsidRDefault="001B29B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radove na cesti GZ Lokva 622.004 kn,</w:t>
      </w:r>
    </w:p>
    <w:p w14:paraId="14D6E840" w14:textId="0658C918" w:rsidR="005A7C39" w:rsidRPr="00884312" w:rsidRDefault="005A7C39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reflektore za Bazen 257.580 kn,</w:t>
      </w:r>
    </w:p>
    <w:p w14:paraId="17275BFD" w14:textId="219D6912" w:rsidR="007F5459" w:rsidRPr="00884312" w:rsidRDefault="007F5459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razna dokumentacija za ceste, parkove, javne površine, parkirališta, poslovne prostore, sportske objekte</w:t>
      </w:r>
      <w:r w:rsidR="00FE2A76" w:rsidRPr="00884312">
        <w:rPr>
          <w:rFonts w:ascii="Arial" w:hAnsi="Arial" w:cs="Arial"/>
          <w:sz w:val="18"/>
          <w:szCs w:val="18"/>
        </w:rPr>
        <w:t xml:space="preserve"> 235.396 kn</w:t>
      </w:r>
      <w:r w:rsidRPr="00884312">
        <w:rPr>
          <w:rFonts w:ascii="Arial" w:hAnsi="Arial" w:cs="Arial"/>
          <w:sz w:val="18"/>
          <w:szCs w:val="18"/>
        </w:rPr>
        <w:t>,</w:t>
      </w:r>
    </w:p>
    <w:p w14:paraId="2E9BAC65" w14:textId="384BA1A3" w:rsidR="001B29BF" w:rsidRPr="00884312" w:rsidRDefault="005A7C39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dokumentaciju vezano za uređenje prometa Grada 216.250 kn,</w:t>
      </w:r>
    </w:p>
    <w:p w14:paraId="43F6FF08" w14:textId="1302BDE2" w:rsidR="007F5459" w:rsidRPr="00884312" w:rsidRDefault="005A7C39" w:rsidP="007F545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obn</w:t>
      </w:r>
      <w:r w:rsidR="007F5459" w:rsidRPr="00884312">
        <w:rPr>
          <w:rFonts w:ascii="Arial" w:hAnsi="Arial" w:cs="Arial"/>
          <w:sz w:val="18"/>
          <w:szCs w:val="18"/>
        </w:rPr>
        <w:t>ovu Doma kulture Korčula 2</w:t>
      </w:r>
      <w:r w:rsidR="00FE2A76" w:rsidRPr="00884312">
        <w:rPr>
          <w:rFonts w:ascii="Arial" w:hAnsi="Arial" w:cs="Arial"/>
          <w:sz w:val="18"/>
          <w:szCs w:val="18"/>
        </w:rPr>
        <w:t>25.053</w:t>
      </w:r>
      <w:r w:rsidR="007F5459" w:rsidRPr="00884312">
        <w:rPr>
          <w:rFonts w:ascii="Arial" w:hAnsi="Arial" w:cs="Arial"/>
          <w:sz w:val="18"/>
          <w:szCs w:val="18"/>
        </w:rPr>
        <w:t xml:space="preserve"> kn,</w:t>
      </w:r>
    </w:p>
    <w:p w14:paraId="09E1EAB8" w14:textId="0E86582D" w:rsidR="005A7C39" w:rsidRPr="00884312" w:rsidRDefault="005A7C39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dokumentaciju za energetsku obnovu zgrada 157.978 kn,</w:t>
      </w:r>
    </w:p>
    <w:p w14:paraId="52F15FC8" w14:textId="2CC8D7B4" w:rsidR="005A7C39" w:rsidRPr="00884312" w:rsidRDefault="005A7C39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Totem za informiranje 105.750 kn,</w:t>
      </w:r>
    </w:p>
    <w:p w14:paraId="3007DA3A" w14:textId="58306D57" w:rsidR="005A7C39" w:rsidRPr="00884312" w:rsidRDefault="00CA520E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Muzejske izloške 62.686 kn,</w:t>
      </w:r>
    </w:p>
    <w:p w14:paraId="54DF7A58" w14:textId="421C0C5A" w:rsidR="00CA520E" w:rsidRPr="00884312" w:rsidRDefault="00CA520E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Knjige u knjižnici 48.716 kn,</w:t>
      </w:r>
    </w:p>
    <w:p w14:paraId="105038E4" w14:textId="05E2AA21" w:rsidR="00CA520E" w:rsidRPr="00884312" w:rsidRDefault="00FE2A76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Projektnu dokumentaciju za Aglomeraciju 68.419 kn,</w:t>
      </w:r>
    </w:p>
    <w:p w14:paraId="63A573E6" w14:textId="1841C849" w:rsidR="00FE2A76" w:rsidRPr="00884312" w:rsidRDefault="00FE2A76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Sanaciju zgrade Gradskog muzeja 64.220 kn,</w:t>
      </w:r>
    </w:p>
    <w:p w14:paraId="2EAD5A3C" w14:textId="2872BC49" w:rsidR="00FE2A76" w:rsidRPr="00884312" w:rsidRDefault="00FE2A76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Kupnju građevinskog zemljišta iznad Vrtića 37.600 kn,</w:t>
      </w:r>
    </w:p>
    <w:p w14:paraId="54AE135C" w14:textId="022CC556" w:rsidR="00FE2A76" w:rsidRPr="00884312" w:rsidRDefault="00FE2A76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Računalnu i uredsku opremu 67.920 kn,</w:t>
      </w:r>
    </w:p>
    <w:p w14:paraId="0A9B18E3" w14:textId="6F8F726F" w:rsidR="00FE2A76" w:rsidRPr="00884312" w:rsidRDefault="00FE2A76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Komunalnu opremu klupe i tuševe za plaže 61.029 kn i</w:t>
      </w:r>
    </w:p>
    <w:p w14:paraId="6D260807" w14:textId="5CD4A583" w:rsidR="00FE2A76" w:rsidRPr="00884312" w:rsidRDefault="00FE2A76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Obnovu Južnog zida 16.875 kn.</w:t>
      </w:r>
    </w:p>
    <w:p w14:paraId="695344EF" w14:textId="06CBE7CD" w:rsidR="00760997" w:rsidRPr="00884312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Na ustanove korisnike Proračuna</w:t>
      </w:r>
      <w:r w:rsidR="00F966B1" w:rsidRPr="00884312">
        <w:rPr>
          <w:rFonts w:ascii="Arial" w:hAnsi="Arial" w:cs="Arial"/>
          <w:sz w:val="18"/>
          <w:szCs w:val="18"/>
        </w:rPr>
        <w:t>, u ovom razredu rashoda,</w:t>
      </w:r>
      <w:r w:rsidRPr="00884312">
        <w:rPr>
          <w:rFonts w:ascii="Arial" w:hAnsi="Arial" w:cs="Arial"/>
          <w:sz w:val="18"/>
          <w:szCs w:val="18"/>
        </w:rPr>
        <w:t xml:space="preserve"> odnosi se </w:t>
      </w:r>
      <w:r w:rsidR="0020391E" w:rsidRPr="00884312">
        <w:rPr>
          <w:rFonts w:ascii="Arial" w:hAnsi="Arial" w:cs="Arial"/>
          <w:sz w:val="18"/>
          <w:szCs w:val="18"/>
        </w:rPr>
        <w:t>95.378</w:t>
      </w:r>
      <w:r w:rsidR="00E967CB" w:rsidRPr="00884312">
        <w:rPr>
          <w:rFonts w:ascii="Arial" w:hAnsi="Arial" w:cs="Arial"/>
          <w:sz w:val="18"/>
          <w:szCs w:val="18"/>
        </w:rPr>
        <w:t xml:space="preserve"> </w:t>
      </w:r>
      <w:r w:rsidR="00DE0C2F" w:rsidRPr="00884312">
        <w:rPr>
          <w:rFonts w:ascii="Arial" w:hAnsi="Arial" w:cs="Arial"/>
          <w:sz w:val="18"/>
          <w:szCs w:val="18"/>
        </w:rPr>
        <w:t xml:space="preserve">kn. </w:t>
      </w:r>
    </w:p>
    <w:p w14:paraId="1A9D5A9D" w14:textId="77777777" w:rsidR="00884312" w:rsidRDefault="00760997" w:rsidP="000F4158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b/>
          <w:sz w:val="18"/>
          <w:szCs w:val="18"/>
          <w:u w:val="single"/>
        </w:rPr>
        <w:t>Izdaci za financijsku imovinu i otplate zajmova</w:t>
      </w:r>
      <w:r w:rsidRPr="00884312">
        <w:rPr>
          <w:rFonts w:ascii="Arial" w:hAnsi="Arial" w:cs="Arial"/>
          <w:b/>
          <w:sz w:val="18"/>
          <w:szCs w:val="18"/>
        </w:rPr>
        <w:t xml:space="preserve"> (razred 5)</w:t>
      </w:r>
      <w:r w:rsidRPr="00884312">
        <w:rPr>
          <w:rFonts w:ascii="Arial" w:hAnsi="Arial" w:cs="Arial"/>
          <w:sz w:val="18"/>
          <w:szCs w:val="18"/>
        </w:rPr>
        <w:t xml:space="preserve"> iznose </w:t>
      </w:r>
      <w:r w:rsidR="000F4158" w:rsidRPr="00884312">
        <w:rPr>
          <w:rFonts w:ascii="Arial" w:hAnsi="Arial" w:cs="Arial"/>
          <w:sz w:val="18"/>
          <w:szCs w:val="18"/>
        </w:rPr>
        <w:t>6.215.505</w:t>
      </w:r>
      <w:r w:rsidRPr="00884312">
        <w:rPr>
          <w:rFonts w:ascii="Arial" w:hAnsi="Arial" w:cs="Arial"/>
          <w:sz w:val="18"/>
          <w:szCs w:val="18"/>
        </w:rPr>
        <w:t xml:space="preserve"> kuna ili </w:t>
      </w:r>
      <w:r w:rsidR="000F4158" w:rsidRPr="00884312">
        <w:rPr>
          <w:rFonts w:ascii="Arial" w:hAnsi="Arial" w:cs="Arial"/>
          <w:sz w:val="18"/>
          <w:szCs w:val="18"/>
        </w:rPr>
        <w:t>62</w:t>
      </w:r>
      <w:r w:rsidRPr="00884312">
        <w:rPr>
          <w:rFonts w:ascii="Arial" w:hAnsi="Arial" w:cs="Arial"/>
          <w:sz w:val="18"/>
          <w:szCs w:val="18"/>
        </w:rPr>
        <w:t>% od planiranog godišnjeg iznosa</w:t>
      </w:r>
      <w:r w:rsidR="000F4158" w:rsidRPr="00884312">
        <w:rPr>
          <w:rFonts w:ascii="Arial" w:hAnsi="Arial" w:cs="Arial"/>
          <w:sz w:val="18"/>
          <w:szCs w:val="18"/>
        </w:rPr>
        <w:t>. O</w:t>
      </w:r>
      <w:r w:rsidRPr="00884312">
        <w:rPr>
          <w:rFonts w:ascii="Arial" w:hAnsi="Arial" w:cs="Arial"/>
          <w:sz w:val="18"/>
          <w:szCs w:val="18"/>
        </w:rPr>
        <w:t>dnose se na otplatu</w:t>
      </w:r>
      <w:r w:rsidR="000F4158" w:rsidRPr="00884312">
        <w:rPr>
          <w:rFonts w:ascii="Arial" w:hAnsi="Arial" w:cs="Arial"/>
          <w:sz w:val="18"/>
          <w:szCs w:val="18"/>
        </w:rPr>
        <w:t xml:space="preserve"> dugoročnog kredita</w:t>
      </w:r>
      <w:r w:rsidR="000F4158" w:rsidRPr="000F4158">
        <w:rPr>
          <w:rFonts w:ascii="Arial" w:hAnsi="Arial" w:cs="Arial"/>
          <w:sz w:val="18"/>
          <w:szCs w:val="18"/>
        </w:rPr>
        <w:t xml:space="preserve"> HBOR-a za Projekte Grada</w:t>
      </w:r>
      <w:r w:rsidR="000F4158">
        <w:rPr>
          <w:rFonts w:ascii="Arial" w:hAnsi="Arial" w:cs="Arial"/>
          <w:sz w:val="18"/>
          <w:szCs w:val="18"/>
        </w:rPr>
        <w:t xml:space="preserve"> u iznosu od 5.024.830 kn</w:t>
      </w:r>
      <w:r w:rsidR="000F4158" w:rsidRPr="000F4158">
        <w:rPr>
          <w:rFonts w:ascii="Arial" w:hAnsi="Arial" w:cs="Arial"/>
          <w:sz w:val="18"/>
          <w:szCs w:val="18"/>
        </w:rPr>
        <w:t xml:space="preserve">. </w:t>
      </w:r>
    </w:p>
    <w:p w14:paraId="571ED333" w14:textId="3FF7A5B8" w:rsidR="000F4158" w:rsidRPr="000F4158" w:rsidRDefault="000F4158" w:rsidP="000F4158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Otplaćeno je </w:t>
      </w:r>
      <w:r w:rsidR="00454610">
        <w:rPr>
          <w:rFonts w:ascii="Arial" w:hAnsi="Arial" w:cs="Arial"/>
          <w:sz w:val="18"/>
          <w:szCs w:val="18"/>
        </w:rPr>
        <w:t>1.190.675 kn</w:t>
      </w:r>
      <w:r w:rsidRPr="000F4158">
        <w:rPr>
          <w:rFonts w:ascii="Arial" w:hAnsi="Arial" w:cs="Arial"/>
          <w:sz w:val="18"/>
          <w:szCs w:val="18"/>
        </w:rPr>
        <w:t xml:space="preserve"> beskamatnog zajma Ministarstv</w:t>
      </w:r>
      <w:r w:rsidR="00454610">
        <w:rPr>
          <w:rFonts w:ascii="Arial" w:hAnsi="Arial" w:cs="Arial"/>
          <w:sz w:val="18"/>
          <w:szCs w:val="18"/>
        </w:rPr>
        <w:t>u</w:t>
      </w:r>
      <w:r w:rsidRPr="000F4158">
        <w:rPr>
          <w:rFonts w:ascii="Arial" w:hAnsi="Arial" w:cs="Arial"/>
          <w:sz w:val="18"/>
          <w:szCs w:val="18"/>
        </w:rPr>
        <w:t xml:space="preserve"> financija</w:t>
      </w:r>
      <w:r w:rsidR="00454610">
        <w:rPr>
          <w:rFonts w:ascii="Arial" w:hAnsi="Arial" w:cs="Arial"/>
          <w:sz w:val="18"/>
          <w:szCs w:val="18"/>
        </w:rPr>
        <w:t>.</w:t>
      </w:r>
    </w:p>
    <w:p w14:paraId="3A886CFA" w14:textId="54993566" w:rsidR="00760997" w:rsidRPr="0044293B" w:rsidRDefault="00760997" w:rsidP="00760997">
      <w:pPr>
        <w:jc w:val="both"/>
        <w:rPr>
          <w:rFonts w:ascii="Arial" w:hAnsi="Arial" w:cs="Arial"/>
          <w:sz w:val="18"/>
          <w:szCs w:val="18"/>
        </w:rPr>
      </w:pPr>
    </w:p>
    <w:p w14:paraId="6816275C" w14:textId="609856D2" w:rsidR="00145819" w:rsidRDefault="00145819" w:rsidP="00760997">
      <w:pPr>
        <w:jc w:val="both"/>
        <w:rPr>
          <w:rFonts w:ascii="Arial" w:hAnsi="Arial" w:cs="Arial"/>
          <w:sz w:val="18"/>
          <w:szCs w:val="18"/>
        </w:rPr>
      </w:pPr>
    </w:p>
    <w:p w14:paraId="65F553C2" w14:textId="717B19FD" w:rsidR="00774081" w:rsidRDefault="00774081" w:rsidP="00760997">
      <w:pPr>
        <w:jc w:val="both"/>
        <w:rPr>
          <w:rFonts w:ascii="Arial" w:hAnsi="Arial" w:cs="Arial"/>
          <w:sz w:val="16"/>
          <w:szCs w:val="16"/>
        </w:rPr>
      </w:pPr>
    </w:p>
    <w:p w14:paraId="1AA0F30D" w14:textId="0D16424E" w:rsidR="008413C9" w:rsidRDefault="008413C9" w:rsidP="00760997">
      <w:pPr>
        <w:jc w:val="both"/>
        <w:rPr>
          <w:rFonts w:ascii="Arial" w:hAnsi="Arial" w:cs="Arial"/>
          <w:sz w:val="16"/>
          <w:szCs w:val="16"/>
        </w:rPr>
      </w:pPr>
    </w:p>
    <w:p w14:paraId="29FA6E5F" w14:textId="076909A8" w:rsidR="008413C9" w:rsidRDefault="008413C9" w:rsidP="00760997">
      <w:pPr>
        <w:jc w:val="both"/>
        <w:rPr>
          <w:rFonts w:ascii="Arial" w:hAnsi="Arial" w:cs="Arial"/>
          <w:sz w:val="16"/>
          <w:szCs w:val="16"/>
        </w:rPr>
      </w:pPr>
    </w:p>
    <w:p w14:paraId="63A42F05" w14:textId="2CACCD7A" w:rsidR="008413C9" w:rsidRDefault="008413C9" w:rsidP="00760997">
      <w:pPr>
        <w:jc w:val="both"/>
        <w:rPr>
          <w:rFonts w:ascii="Arial" w:hAnsi="Arial" w:cs="Arial"/>
          <w:sz w:val="16"/>
          <w:szCs w:val="16"/>
        </w:rPr>
      </w:pPr>
    </w:p>
    <w:p w14:paraId="7C53820E" w14:textId="2AB150E4" w:rsidR="008413C9" w:rsidRDefault="008413C9" w:rsidP="00760997">
      <w:pPr>
        <w:jc w:val="both"/>
        <w:rPr>
          <w:rFonts w:ascii="Arial" w:hAnsi="Arial" w:cs="Arial"/>
          <w:sz w:val="16"/>
          <w:szCs w:val="16"/>
        </w:rPr>
      </w:pPr>
    </w:p>
    <w:p w14:paraId="6F7913C4" w14:textId="010265C9" w:rsidR="008413C9" w:rsidRDefault="008413C9" w:rsidP="00760997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4077E53" wp14:editId="70DC0966">
            <wp:extent cx="5029200" cy="3019424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1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44F6EA7" w14:textId="77777777" w:rsidR="005F13D1" w:rsidRDefault="005F13D1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ECA5580" w14:textId="77777777" w:rsidR="005F13D1" w:rsidRDefault="005F13D1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41F4B97" w14:textId="77777777" w:rsidR="005F13D1" w:rsidRDefault="005F13D1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34EFEEC" w14:textId="77777777" w:rsidR="005F13D1" w:rsidRDefault="005F13D1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7EE28BF" w14:textId="7DD4F86A" w:rsidR="00520CB9" w:rsidRPr="00D27E6C" w:rsidRDefault="00520CB9" w:rsidP="00520CB9">
      <w:pPr>
        <w:jc w:val="both"/>
        <w:rPr>
          <w:rFonts w:ascii="Arial" w:hAnsi="Arial" w:cs="Arial"/>
          <w:sz w:val="16"/>
          <w:szCs w:val="16"/>
        </w:rPr>
      </w:pPr>
      <w:r w:rsidRPr="00884312">
        <w:rPr>
          <w:rFonts w:ascii="Arial" w:hAnsi="Arial" w:cs="Arial"/>
          <w:sz w:val="18"/>
          <w:szCs w:val="18"/>
        </w:rPr>
        <w:t>Ako usporedimo raspoložive</w:t>
      </w:r>
      <w:r w:rsidRPr="0082669D">
        <w:rPr>
          <w:rFonts w:ascii="Arial" w:hAnsi="Arial" w:cs="Arial"/>
          <w:sz w:val="18"/>
          <w:szCs w:val="18"/>
        </w:rPr>
        <w:t xml:space="preserve"> tekuće prihode s izvršenim rashodima u izvještajnom razdoblju, vidimo da su ostvareni prihodi za </w:t>
      </w:r>
      <w:r w:rsidR="0082669D" w:rsidRPr="0082669D">
        <w:rPr>
          <w:rFonts w:ascii="Arial" w:hAnsi="Arial" w:cs="Arial"/>
          <w:sz w:val="18"/>
          <w:szCs w:val="18"/>
        </w:rPr>
        <w:t>3.634.303</w:t>
      </w:r>
      <w:r w:rsidRPr="0082669D">
        <w:rPr>
          <w:rFonts w:ascii="Arial" w:hAnsi="Arial" w:cs="Arial"/>
          <w:sz w:val="18"/>
          <w:szCs w:val="18"/>
        </w:rPr>
        <w:t xml:space="preserve"> kn manji od rashoda, dok su i</w:t>
      </w:r>
      <w:r w:rsidR="0082669D" w:rsidRPr="0082669D">
        <w:rPr>
          <w:rFonts w:ascii="Arial" w:hAnsi="Arial" w:cs="Arial"/>
          <w:sz w:val="18"/>
          <w:szCs w:val="18"/>
        </w:rPr>
        <w:t>zdaci</w:t>
      </w:r>
      <w:r w:rsidRPr="0082669D">
        <w:rPr>
          <w:rFonts w:ascii="Arial" w:hAnsi="Arial" w:cs="Arial"/>
          <w:sz w:val="18"/>
          <w:szCs w:val="18"/>
        </w:rPr>
        <w:t xml:space="preserve"> veći za </w:t>
      </w:r>
      <w:r w:rsidR="0082669D" w:rsidRPr="0082669D">
        <w:rPr>
          <w:rFonts w:ascii="Arial" w:hAnsi="Arial" w:cs="Arial"/>
          <w:sz w:val="18"/>
          <w:szCs w:val="18"/>
        </w:rPr>
        <w:t>1</w:t>
      </w:r>
      <w:r w:rsidR="0082669D">
        <w:rPr>
          <w:rFonts w:ascii="Arial" w:hAnsi="Arial" w:cs="Arial"/>
          <w:sz w:val="18"/>
          <w:szCs w:val="18"/>
        </w:rPr>
        <w:t>.728.906</w:t>
      </w:r>
      <w:r>
        <w:rPr>
          <w:rFonts w:ascii="Arial" w:hAnsi="Arial" w:cs="Arial"/>
          <w:sz w:val="18"/>
          <w:szCs w:val="18"/>
        </w:rPr>
        <w:t xml:space="preserve"> kn od </w:t>
      </w:r>
      <w:r w:rsidR="0082669D">
        <w:rPr>
          <w:rFonts w:ascii="Arial" w:hAnsi="Arial" w:cs="Arial"/>
          <w:sz w:val="18"/>
          <w:szCs w:val="18"/>
        </w:rPr>
        <w:t>ostvarenih</w:t>
      </w:r>
      <w:r>
        <w:rPr>
          <w:rFonts w:ascii="Arial" w:hAnsi="Arial" w:cs="Arial"/>
          <w:sz w:val="18"/>
          <w:szCs w:val="18"/>
        </w:rPr>
        <w:t xml:space="preserve"> </w:t>
      </w:r>
      <w:r w:rsidR="0082669D">
        <w:rPr>
          <w:rFonts w:ascii="Arial" w:hAnsi="Arial" w:cs="Arial"/>
          <w:sz w:val="18"/>
          <w:szCs w:val="18"/>
        </w:rPr>
        <w:t>primitaka</w:t>
      </w:r>
      <w:r w:rsidRPr="00F45D3A">
        <w:rPr>
          <w:rFonts w:ascii="Arial" w:hAnsi="Arial" w:cs="Arial"/>
          <w:sz w:val="18"/>
          <w:szCs w:val="18"/>
        </w:rPr>
        <w:t>.</w:t>
      </w:r>
    </w:p>
    <w:p w14:paraId="14780C12" w14:textId="77777777" w:rsidR="002E3B4D" w:rsidRDefault="00520CB9" w:rsidP="00520CB9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t xml:space="preserve">Raspoloživa sredstva iz prethodnih godina predstavljaju ukupni </w:t>
      </w:r>
      <w:r>
        <w:rPr>
          <w:rFonts w:ascii="Arial" w:hAnsi="Arial" w:cs="Arial"/>
          <w:sz w:val="18"/>
          <w:szCs w:val="18"/>
        </w:rPr>
        <w:t>manjak</w:t>
      </w:r>
      <w:r w:rsidRPr="00D74934">
        <w:rPr>
          <w:rFonts w:ascii="Arial" w:hAnsi="Arial" w:cs="Arial"/>
          <w:sz w:val="18"/>
          <w:szCs w:val="18"/>
        </w:rPr>
        <w:t xml:space="preserve"> od</w:t>
      </w:r>
      <w:r>
        <w:rPr>
          <w:rFonts w:ascii="Arial" w:hAnsi="Arial" w:cs="Arial"/>
          <w:sz w:val="18"/>
          <w:szCs w:val="18"/>
        </w:rPr>
        <w:t xml:space="preserve"> </w:t>
      </w:r>
      <w:r w:rsidR="002E3B4D">
        <w:rPr>
          <w:rFonts w:ascii="Arial" w:hAnsi="Arial" w:cs="Arial"/>
          <w:sz w:val="18"/>
          <w:szCs w:val="18"/>
        </w:rPr>
        <w:t xml:space="preserve">4.272.325 </w:t>
      </w:r>
      <w:r>
        <w:rPr>
          <w:rFonts w:ascii="Arial" w:hAnsi="Arial" w:cs="Arial"/>
          <w:sz w:val="18"/>
          <w:szCs w:val="18"/>
        </w:rPr>
        <w:t>kn</w:t>
      </w:r>
      <w:r w:rsidRPr="00F45D3A">
        <w:rPr>
          <w:rFonts w:ascii="Arial" w:hAnsi="Arial" w:cs="Arial"/>
          <w:sz w:val="18"/>
          <w:szCs w:val="18"/>
        </w:rPr>
        <w:t xml:space="preserve"> što je rezultat početnog </w:t>
      </w:r>
      <w:r>
        <w:rPr>
          <w:rFonts w:ascii="Arial" w:hAnsi="Arial" w:cs="Arial"/>
          <w:sz w:val="18"/>
          <w:szCs w:val="18"/>
        </w:rPr>
        <w:t>manjka</w:t>
      </w:r>
      <w:r w:rsidRPr="00F45D3A">
        <w:rPr>
          <w:rFonts w:ascii="Arial" w:hAnsi="Arial" w:cs="Arial"/>
          <w:sz w:val="18"/>
          <w:szCs w:val="18"/>
        </w:rPr>
        <w:t xml:space="preserve"> Grada od </w:t>
      </w:r>
      <w:r w:rsidR="002E3B4D">
        <w:rPr>
          <w:rFonts w:ascii="Arial" w:hAnsi="Arial" w:cs="Arial"/>
          <w:sz w:val="18"/>
          <w:szCs w:val="18"/>
        </w:rPr>
        <w:t>5.152.197</w:t>
      </w:r>
      <w:r>
        <w:rPr>
          <w:rFonts w:ascii="Arial" w:hAnsi="Arial" w:cs="Arial"/>
          <w:sz w:val="18"/>
          <w:szCs w:val="18"/>
        </w:rPr>
        <w:t xml:space="preserve"> kn</w:t>
      </w:r>
      <w:r w:rsidRPr="00F45D3A">
        <w:rPr>
          <w:rFonts w:ascii="Arial" w:hAnsi="Arial" w:cs="Arial"/>
          <w:sz w:val="18"/>
          <w:szCs w:val="18"/>
        </w:rPr>
        <w:t xml:space="preserve"> i ukupnog viška kod ustanova korisnika Proračuna od </w:t>
      </w:r>
      <w:r w:rsidR="0082669D">
        <w:rPr>
          <w:rFonts w:ascii="Arial" w:hAnsi="Arial" w:cs="Arial"/>
          <w:sz w:val="18"/>
          <w:szCs w:val="18"/>
        </w:rPr>
        <w:t>879.872</w:t>
      </w:r>
      <w:r>
        <w:rPr>
          <w:rFonts w:ascii="Arial" w:hAnsi="Arial" w:cs="Arial"/>
          <w:sz w:val="18"/>
          <w:szCs w:val="18"/>
        </w:rPr>
        <w:t xml:space="preserve"> kn</w:t>
      </w:r>
      <w:r w:rsidRPr="00F45D3A">
        <w:rPr>
          <w:rFonts w:ascii="Arial" w:hAnsi="Arial" w:cs="Arial"/>
          <w:sz w:val="18"/>
          <w:szCs w:val="18"/>
        </w:rPr>
        <w:t xml:space="preserve">. </w:t>
      </w:r>
    </w:p>
    <w:p w14:paraId="469DEB6C" w14:textId="33BA7DC7" w:rsidR="00520CB9" w:rsidRPr="000B4F50" w:rsidRDefault="00520CB9" w:rsidP="00520CB9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t>Ukoliko uračunamo ostvareni manjak prihoda i primitaka iz prvog polugodišta, u ovom izvještajnom razdoblju</w:t>
      </w:r>
      <w:r w:rsidRPr="000B4F50">
        <w:rPr>
          <w:rFonts w:ascii="Arial" w:hAnsi="Arial" w:cs="Arial"/>
          <w:sz w:val="18"/>
          <w:szCs w:val="18"/>
        </w:rPr>
        <w:t xml:space="preserve"> imamo rezultat od </w:t>
      </w:r>
      <w:r w:rsidR="0082669D">
        <w:rPr>
          <w:rFonts w:ascii="Arial" w:hAnsi="Arial" w:cs="Arial"/>
          <w:sz w:val="18"/>
          <w:szCs w:val="18"/>
        </w:rPr>
        <w:t>9.635.533</w:t>
      </w:r>
      <w:r>
        <w:rPr>
          <w:rFonts w:ascii="Arial" w:hAnsi="Arial" w:cs="Arial"/>
          <w:sz w:val="18"/>
          <w:szCs w:val="18"/>
        </w:rPr>
        <w:t xml:space="preserve"> kn manjka</w:t>
      </w:r>
      <w:r w:rsidR="0082669D">
        <w:rPr>
          <w:rFonts w:ascii="Arial" w:hAnsi="Arial" w:cs="Arial"/>
          <w:sz w:val="18"/>
          <w:szCs w:val="18"/>
        </w:rPr>
        <w:t xml:space="preserve"> prihoda nad rashodima.</w:t>
      </w:r>
    </w:p>
    <w:p w14:paraId="335D6561" w14:textId="77777777" w:rsidR="00520CB9" w:rsidRDefault="00520CB9" w:rsidP="00520CB9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8381702" w14:textId="2106F73B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234766BB" w14:textId="053CD4AD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09B7A1EE" w14:textId="64CBD9F6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7B759C8A" w14:textId="6A0342BB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1F704B0A" w14:textId="77777777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28953F72" w14:textId="42E14C47" w:rsidR="0083767D" w:rsidRPr="00C50FB8" w:rsidRDefault="0083767D" w:rsidP="00C405BF">
      <w:pPr>
        <w:jc w:val="both"/>
        <w:rPr>
          <w:rFonts w:ascii="Arial" w:hAnsi="Arial" w:cs="Arial"/>
          <w:sz w:val="16"/>
          <w:szCs w:val="16"/>
        </w:rPr>
      </w:pPr>
      <w:r w:rsidRPr="00884312">
        <w:rPr>
          <w:rFonts w:ascii="Arial" w:hAnsi="Arial" w:cs="Arial"/>
          <w:b/>
          <w:i/>
          <w:noProof/>
          <w:sz w:val="16"/>
          <w:szCs w:val="16"/>
          <w:lang w:eastAsia="hr-HR"/>
        </w:rPr>
        <w:t>U izvještajnom razdoblju</w:t>
      </w:r>
      <w:r w:rsidRPr="00D25992">
        <w:rPr>
          <w:rFonts w:ascii="Arial" w:hAnsi="Arial" w:cs="Arial"/>
          <w:b/>
          <w:i/>
          <w:noProof/>
          <w:sz w:val="16"/>
          <w:szCs w:val="16"/>
          <w:lang w:eastAsia="hr-HR"/>
        </w:rPr>
        <w:t>, rashodi</w:t>
      </w:r>
      <w:r w:rsidRPr="00D311EF">
        <w:rPr>
          <w:rFonts w:ascii="Arial" w:hAnsi="Arial" w:cs="Arial"/>
          <w:b/>
          <w:i/>
          <w:noProof/>
          <w:sz w:val="16"/>
          <w:szCs w:val="16"/>
          <w:lang w:eastAsia="hr-HR"/>
        </w:rPr>
        <w:t xml:space="preserve"> proračunskih korisnika bili su kako slijedi</w:t>
      </w:r>
      <w:r>
        <w:rPr>
          <w:rFonts w:ascii="Arial" w:hAnsi="Arial" w:cs="Arial"/>
          <w:noProof/>
          <w:sz w:val="16"/>
          <w:szCs w:val="16"/>
          <w:lang w:eastAsia="hr-HR"/>
        </w:rPr>
        <w:t>:</w:t>
      </w:r>
    </w:p>
    <w:tbl>
      <w:tblPr>
        <w:tblW w:w="5116" w:type="dxa"/>
        <w:tblInd w:w="95" w:type="dxa"/>
        <w:tblLook w:val="04A0" w:firstRow="1" w:lastRow="0" w:firstColumn="1" w:lastColumn="0" w:noHBand="0" w:noVBand="1"/>
      </w:tblPr>
      <w:tblGrid>
        <w:gridCol w:w="2848"/>
        <w:gridCol w:w="1134"/>
        <w:gridCol w:w="1134"/>
      </w:tblGrid>
      <w:tr w:rsidR="00760997" w:rsidRPr="00016FD7" w14:paraId="5BF9775E" w14:textId="77777777" w:rsidTr="00016FD7">
        <w:trPr>
          <w:trHeight w:val="28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D122" w14:textId="77777777"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B39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A8D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 xml:space="preserve">ostvarenje </w:t>
            </w:r>
          </w:p>
        </w:tc>
      </w:tr>
      <w:tr w:rsidR="00760997" w:rsidRPr="00BE20A2" w14:paraId="4A94E8B7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A51" w14:textId="77777777" w:rsidR="00760997" w:rsidRPr="00FF4FBF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Gradski muzej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1EC0" w14:textId="5F954516" w:rsidR="00760997" w:rsidRPr="00FF4FBF" w:rsidRDefault="00E778F4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1.122.212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D80" w14:textId="262FF080" w:rsidR="00760997" w:rsidRPr="00FF4FBF" w:rsidRDefault="00E778F4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567.696</w:t>
            </w:r>
          </w:p>
        </w:tc>
      </w:tr>
      <w:tr w:rsidR="00760997" w:rsidRPr="00BE20A2" w14:paraId="7673B2D9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FED" w14:textId="77777777" w:rsidR="00760997" w:rsidRPr="00FF4FBF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Gradska knjižnica Ivan Vidali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313" w14:textId="1DA6083C" w:rsidR="00760997" w:rsidRPr="00FF4FBF" w:rsidRDefault="006722CE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1.229.800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0990" w14:textId="75B6792D" w:rsidR="00760997" w:rsidRPr="00FF4FBF" w:rsidRDefault="006722CE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384.506</w:t>
            </w:r>
          </w:p>
        </w:tc>
      </w:tr>
      <w:tr w:rsidR="00760997" w:rsidRPr="00BE20A2" w14:paraId="4447B8FE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15B" w14:textId="77777777" w:rsidR="00760997" w:rsidRPr="00FF4FBF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Dječji vrtić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5A14" w14:textId="6706B603" w:rsidR="00760997" w:rsidRPr="00FF4FBF" w:rsidRDefault="00FF4FBF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4.405.233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24A" w14:textId="088C42BE" w:rsidR="00760997" w:rsidRPr="00FF4FBF" w:rsidRDefault="00FF4FBF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2.158.067</w:t>
            </w:r>
          </w:p>
        </w:tc>
      </w:tr>
      <w:tr w:rsidR="00760997" w:rsidRPr="00BE20A2" w14:paraId="32CA4003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8B6" w14:textId="77777777" w:rsidR="00760997" w:rsidRPr="00FF4FBF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Centar za kulturu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8D3" w14:textId="73A967FA" w:rsidR="00760997" w:rsidRPr="00FF4FBF" w:rsidRDefault="006722CE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1.452.800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505" w14:textId="0793D349" w:rsidR="00760997" w:rsidRPr="00FF4FBF" w:rsidRDefault="006722CE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387.148</w:t>
            </w:r>
          </w:p>
        </w:tc>
      </w:tr>
      <w:tr w:rsidR="00760997" w:rsidRPr="00BE20A2" w14:paraId="389A7E05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BD9" w14:textId="77777777" w:rsidR="00760997" w:rsidRPr="00FF4FBF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Ustanova Športski objekti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F59E" w14:textId="0354C92F" w:rsidR="00760997" w:rsidRPr="00FF4FBF" w:rsidRDefault="00EC7F42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AAB" w14:textId="461CEB89" w:rsidR="00760997" w:rsidRPr="00FF4FBF" w:rsidRDefault="00EC7F42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4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1.730.491</w:t>
            </w:r>
          </w:p>
        </w:tc>
      </w:tr>
      <w:tr w:rsidR="00760997" w:rsidRPr="00BE20A2" w14:paraId="3F012C89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EE0" w14:textId="77777777" w:rsidR="00760997" w:rsidRPr="00016FD7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9EAB" w14:textId="19E0FF58" w:rsidR="00760997" w:rsidRPr="00016FD7" w:rsidRDefault="00FF4FBF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10.400.045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0846" w14:textId="37AD6CAA" w:rsidR="00760997" w:rsidRPr="00016FD7" w:rsidRDefault="00FF4FBF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5.227.908</w:t>
            </w:r>
          </w:p>
        </w:tc>
      </w:tr>
    </w:tbl>
    <w:p w14:paraId="33FA0D42" w14:textId="0F9B2082" w:rsidR="00FC1C09" w:rsidRDefault="00FC1C09" w:rsidP="00760997">
      <w:pPr>
        <w:jc w:val="both"/>
        <w:rPr>
          <w:rFonts w:ascii="Arial" w:hAnsi="Arial" w:cs="Arial"/>
          <w:sz w:val="16"/>
          <w:szCs w:val="16"/>
        </w:rPr>
      </w:pPr>
    </w:p>
    <w:p w14:paraId="4A05DD8F" w14:textId="5D1CCD9E" w:rsidR="00C405BF" w:rsidRDefault="00C405BF" w:rsidP="00760997">
      <w:pPr>
        <w:jc w:val="both"/>
        <w:rPr>
          <w:rFonts w:ascii="Arial" w:hAnsi="Arial" w:cs="Arial"/>
          <w:sz w:val="16"/>
          <w:szCs w:val="16"/>
        </w:rPr>
      </w:pPr>
    </w:p>
    <w:p w14:paraId="35090269" w14:textId="218261F4" w:rsidR="00520CB9" w:rsidRDefault="00814827" w:rsidP="00760997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1F4A409" wp14:editId="6E6482AB">
            <wp:extent cx="5886450" cy="3781425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1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8FC498" w14:textId="77777777" w:rsidR="00520CB9" w:rsidRDefault="00520CB9" w:rsidP="00760997">
      <w:pPr>
        <w:jc w:val="both"/>
        <w:rPr>
          <w:rFonts w:ascii="Arial" w:hAnsi="Arial" w:cs="Arial"/>
          <w:sz w:val="16"/>
          <w:szCs w:val="16"/>
        </w:rPr>
      </w:pPr>
    </w:p>
    <w:p w14:paraId="4FE389C4" w14:textId="326D5B1D" w:rsidR="00520CB9" w:rsidRDefault="00520CB9" w:rsidP="005B0802">
      <w:pPr>
        <w:rPr>
          <w:rFonts w:ascii="Arial" w:hAnsi="Arial" w:cs="Arial"/>
          <w:b/>
          <w:i/>
          <w:sz w:val="18"/>
          <w:szCs w:val="18"/>
          <w:u w:val="single"/>
        </w:rPr>
      </w:pPr>
    </w:p>
    <w:p w14:paraId="39FB1D3A" w14:textId="1B6013C7" w:rsidR="00760997" w:rsidRPr="00884312" w:rsidRDefault="00760997" w:rsidP="005B0802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884312">
        <w:rPr>
          <w:rFonts w:ascii="Arial" w:hAnsi="Arial" w:cs="Arial"/>
          <w:b/>
          <w:i/>
          <w:sz w:val="20"/>
          <w:szCs w:val="20"/>
          <w:u w:val="single"/>
        </w:rPr>
        <w:t xml:space="preserve">Izvještaj o korištenju proračunske zalihe  </w:t>
      </w:r>
    </w:p>
    <w:p w14:paraId="719D169B" w14:textId="1E9015EE" w:rsidR="00760997" w:rsidRDefault="009F013C" w:rsidP="00F54D66">
      <w:pPr>
        <w:ind w:right="57"/>
        <w:jc w:val="both"/>
        <w:rPr>
          <w:rFonts w:ascii="Arial" w:hAnsi="Arial" w:cs="Arial"/>
          <w:b/>
          <w:bCs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U 202</w:t>
      </w:r>
      <w:r w:rsidR="00CE69C8" w:rsidRPr="00884312">
        <w:rPr>
          <w:rFonts w:ascii="Arial" w:hAnsi="Arial" w:cs="Arial"/>
          <w:sz w:val="18"/>
          <w:szCs w:val="18"/>
        </w:rPr>
        <w:t>2</w:t>
      </w:r>
      <w:r w:rsidR="00760997" w:rsidRPr="00884312">
        <w:rPr>
          <w:rFonts w:ascii="Arial" w:hAnsi="Arial" w:cs="Arial"/>
          <w:sz w:val="18"/>
          <w:szCs w:val="18"/>
        </w:rPr>
        <w:t xml:space="preserve">.godini planirana je proračunska zaliha od </w:t>
      </w:r>
      <w:r w:rsidR="0052776B" w:rsidRPr="00884312">
        <w:rPr>
          <w:rFonts w:ascii="Arial" w:hAnsi="Arial" w:cs="Arial"/>
          <w:sz w:val="18"/>
          <w:szCs w:val="18"/>
        </w:rPr>
        <w:t>1</w:t>
      </w:r>
      <w:r w:rsidR="00AF2B3D" w:rsidRPr="00884312">
        <w:rPr>
          <w:rFonts w:ascii="Arial" w:hAnsi="Arial" w:cs="Arial"/>
          <w:sz w:val="18"/>
          <w:szCs w:val="18"/>
        </w:rPr>
        <w:t>0</w:t>
      </w:r>
      <w:r w:rsidR="0052776B" w:rsidRPr="00884312">
        <w:rPr>
          <w:rFonts w:ascii="Arial" w:hAnsi="Arial" w:cs="Arial"/>
          <w:sz w:val="18"/>
          <w:szCs w:val="18"/>
        </w:rPr>
        <w:t>0</w:t>
      </w:r>
      <w:r w:rsidR="00760997" w:rsidRPr="00884312">
        <w:rPr>
          <w:rFonts w:ascii="Arial" w:hAnsi="Arial" w:cs="Arial"/>
          <w:sz w:val="18"/>
          <w:szCs w:val="18"/>
        </w:rPr>
        <w:t xml:space="preserve">.000 kuna za neplanirane i nedovoljno planirane rashode tijekom </w:t>
      </w:r>
      <w:r w:rsidR="00A30342" w:rsidRPr="00884312">
        <w:rPr>
          <w:rFonts w:ascii="Arial" w:hAnsi="Arial" w:cs="Arial"/>
          <w:sz w:val="18"/>
          <w:szCs w:val="18"/>
        </w:rPr>
        <w:t>go</w:t>
      </w:r>
      <w:r w:rsidRPr="00884312">
        <w:rPr>
          <w:rFonts w:ascii="Arial" w:hAnsi="Arial" w:cs="Arial"/>
          <w:sz w:val="18"/>
          <w:szCs w:val="18"/>
        </w:rPr>
        <w:t xml:space="preserve">dine. Ukupno je raspoređeno </w:t>
      </w:r>
      <w:r w:rsidR="00CE69C8" w:rsidRPr="00884312">
        <w:rPr>
          <w:rFonts w:ascii="Arial" w:hAnsi="Arial" w:cs="Arial"/>
          <w:sz w:val="18"/>
          <w:szCs w:val="18"/>
        </w:rPr>
        <w:t>76.354,23</w:t>
      </w:r>
      <w:r w:rsidR="00760997" w:rsidRPr="00884312">
        <w:rPr>
          <w:rFonts w:ascii="Arial" w:hAnsi="Arial" w:cs="Arial"/>
          <w:sz w:val="18"/>
          <w:szCs w:val="18"/>
        </w:rPr>
        <w:t xml:space="preserve"> kuna za programe</w:t>
      </w:r>
      <w:r w:rsidR="00760997" w:rsidRPr="00E363AE">
        <w:rPr>
          <w:rFonts w:ascii="Arial" w:hAnsi="Arial" w:cs="Arial"/>
          <w:sz w:val="18"/>
          <w:szCs w:val="18"/>
        </w:rPr>
        <w:t xml:space="preserve"> koji su prikazani u tablici koja slijedi. U tablici se navodi opis aktivnosti, korisnik sredstava, iznos odobrenih sredstava, datum isplate te klasifikacijska oznaka dokumenta kojim se odobrava pojedina isplata.</w:t>
      </w:r>
      <w:r w:rsidR="00760997" w:rsidRPr="00E363A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2DF1642" w14:textId="77777777" w:rsidR="00CE69C8" w:rsidRPr="00E363AE" w:rsidRDefault="00CE69C8" w:rsidP="00F54D66">
      <w:pPr>
        <w:ind w:right="57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12793" w:type="dxa"/>
        <w:tblInd w:w="118" w:type="dxa"/>
        <w:tblLook w:val="04A0" w:firstRow="1" w:lastRow="0" w:firstColumn="1" w:lastColumn="0" w:noHBand="0" w:noVBand="1"/>
      </w:tblPr>
      <w:tblGrid>
        <w:gridCol w:w="625"/>
        <w:gridCol w:w="4513"/>
        <w:gridCol w:w="3016"/>
        <w:gridCol w:w="1181"/>
        <w:gridCol w:w="1581"/>
        <w:gridCol w:w="1877"/>
      </w:tblGrid>
      <w:tr w:rsidR="00CE69C8" w:rsidRPr="00CE69C8" w14:paraId="5EA5B28C" w14:textId="77777777" w:rsidTr="00CE69C8">
        <w:trPr>
          <w:trHeight w:val="32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E3EA10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Rbr.</w:t>
            </w:r>
          </w:p>
        </w:tc>
        <w:tc>
          <w:tcPr>
            <w:tcW w:w="45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E9754D5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Opis / Projekt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9E543B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124801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Iznos 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7612FD9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Isplaćeno dana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6755760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Odluka - Klasa</w:t>
            </w:r>
          </w:p>
        </w:tc>
      </w:tr>
      <w:tr w:rsidR="00CE69C8" w:rsidRPr="00CE69C8" w14:paraId="073D4E90" w14:textId="77777777" w:rsidTr="00CE69C8">
        <w:trPr>
          <w:trHeight w:val="31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F994D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DCC9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blagoslov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059A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Župa Sv.Marka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2C514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6BD5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05.01.2022.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87C82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401-03/22-01/02</w:t>
            </w:r>
          </w:p>
        </w:tc>
      </w:tr>
      <w:tr w:rsidR="00CE69C8" w:rsidRPr="00CE69C8" w14:paraId="384D8ACB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B9ACA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E253B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spomen obilježje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706DA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KUD Petar Crnomir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E9870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6.562,50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ABFDB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18.01.2022.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EECC0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402-01/21-01/13</w:t>
            </w:r>
          </w:p>
        </w:tc>
      </w:tr>
      <w:tr w:rsidR="00CE69C8" w:rsidRPr="00CE69C8" w14:paraId="62444B27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7021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4686C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Pomoć za popunjavanje knjižnične građe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C72E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O.Š.Petar Kanavelić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428A4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2.141,94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2261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24.01.2022.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B8E06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402-04/22-01/02</w:t>
            </w:r>
          </w:p>
        </w:tc>
      </w:tr>
      <w:tr w:rsidR="00CE69C8" w:rsidRPr="00CE69C8" w14:paraId="4BB5D4F7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4023D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CDA7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nabavku lifta za stepenice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C644B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Fizička osoba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8F46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35.812,50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5E33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23.02.2022.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BA856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402-04/22-01/03</w:t>
            </w:r>
          </w:p>
        </w:tc>
      </w:tr>
      <w:tr w:rsidR="00CE69C8" w:rsidRPr="00CE69C8" w14:paraId="266C70B8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ECE3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7C2F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izradu fotografija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E7FE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Udruga Kap u moru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80212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3DB0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24.02.2022.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F57E9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402-04/22-01/13</w:t>
            </w:r>
          </w:p>
        </w:tc>
      </w:tr>
      <w:tr w:rsidR="00CE69C8" w:rsidRPr="00CE69C8" w14:paraId="7C60A2F7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D0BFA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3416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kupnju namještaja obitelji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807A9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Udruga Kap solidarnosti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A5CD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300,00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78748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01.03.2022.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DBEE0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402-04/22-01/12</w:t>
            </w:r>
          </w:p>
        </w:tc>
      </w:tr>
      <w:tr w:rsidR="00CE69C8" w:rsidRPr="00CE69C8" w14:paraId="1DB361D0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8C6DB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19367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stručno predavanje lječnika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BA12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 xml:space="preserve">Centar za socijalnu skrb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34B6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5DA73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11.03.2022.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A2752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402-04/22-01/19</w:t>
            </w:r>
          </w:p>
        </w:tc>
      </w:tr>
      <w:tr w:rsidR="00CE69C8" w:rsidRPr="00CE69C8" w14:paraId="48163BED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C270E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30A4C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 xml:space="preserve">Donacija za liječenje kćerke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EC0A8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Fizička osoba 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A59A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AE41B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11.03.2022.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DAD82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402-04/22-01/17</w:t>
            </w:r>
          </w:p>
        </w:tc>
      </w:tr>
      <w:tr w:rsidR="00CE69C8" w:rsidRPr="00CE69C8" w14:paraId="1BCD2A94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5DBED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CAFF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liječenje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25F72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Fizička osoba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64D8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706F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11.03.2022.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F347B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402-04/22-01/18</w:t>
            </w:r>
          </w:p>
        </w:tc>
      </w:tr>
      <w:tr w:rsidR="00CE69C8" w:rsidRPr="00CE69C8" w14:paraId="0BEA9E67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25B7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AEED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Bakalar za maškare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A4F2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KKK Bonkulovići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9B281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903,96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1C97E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17.03.2022.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BBD52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URA-220124/22</w:t>
            </w:r>
          </w:p>
        </w:tc>
      </w:tr>
      <w:tr w:rsidR="00CE69C8" w:rsidRPr="00CE69C8" w14:paraId="60119283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B7DF5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E940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snimanje filma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F1C0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Udruga Tisno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20BF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742F6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28.03.2022.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0AFB5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402-04/22-01/15</w:t>
            </w:r>
          </w:p>
        </w:tc>
      </w:tr>
      <w:tr w:rsidR="00CE69C8" w:rsidRPr="00CE69C8" w14:paraId="5026CE95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8AAD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AD595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karitativnu pomoć za Uskrs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07A96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Caritas Župe Sv.Ante Knin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B4F1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637C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26.04.2022.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A4F08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402-04/22-01/20</w:t>
            </w:r>
          </w:p>
        </w:tc>
      </w:tr>
      <w:tr w:rsidR="00CE69C8" w:rsidRPr="00CE69C8" w14:paraId="654AA834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FA86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AE30F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maturalni ples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A45F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S.Š.Petra Šegedina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95F9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338B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26.04.2022.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B3D47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402-04/22-01/20</w:t>
            </w:r>
          </w:p>
        </w:tc>
      </w:tr>
      <w:tr w:rsidR="00CE69C8" w:rsidRPr="00CE69C8" w14:paraId="6977B140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3C3CE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BABC7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proslavu blagdana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9A12C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Župa Sv. Nikole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F173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398CD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25.05.2022.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9CA04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402-04/22-01/28</w:t>
            </w:r>
          </w:p>
        </w:tc>
      </w:tr>
      <w:tr w:rsidR="00CE69C8" w:rsidRPr="00CE69C8" w14:paraId="1BA2E98C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CE20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6E5B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sudjelovanje na natjecanju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54C89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Rukometni klub Korčula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F571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C970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31.05.2022.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DC247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402-04/22-01/30</w:t>
            </w:r>
          </w:p>
        </w:tc>
      </w:tr>
      <w:tr w:rsidR="00CE69C8" w:rsidRPr="00CE69C8" w14:paraId="7A7CE80A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66BD6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D1A0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prijevoz na Županijski turnir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BBA4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Teniski klub Mot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7E95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933,33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0BA5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03.06.2022.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099E7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402-04/22-01/27</w:t>
            </w:r>
          </w:p>
        </w:tc>
      </w:tr>
      <w:tr w:rsidR="00CE69C8" w:rsidRPr="00CE69C8" w14:paraId="44211B13" w14:textId="77777777" w:rsidTr="00CE69C8">
        <w:trPr>
          <w:trHeight w:val="31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BF85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1CC6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Donacija za prigodni turnir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8809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Boćarski klub Sv. Antun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C45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2C73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09.06.2022.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1B81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402-04/22-01/31</w:t>
            </w:r>
          </w:p>
        </w:tc>
      </w:tr>
      <w:tr w:rsidR="00CE69C8" w:rsidRPr="00CE69C8" w14:paraId="3CF05307" w14:textId="77777777" w:rsidTr="00CE69C8">
        <w:trPr>
          <w:trHeight w:val="32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518815E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827C857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UKUPNO: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93D9F9B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C20A34D" w14:textId="77777777" w:rsidR="00CE69C8" w:rsidRPr="00CE69C8" w:rsidRDefault="00CE69C8" w:rsidP="00CE69C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b/>
                <w:bCs/>
                <w:color w:val="000000"/>
                <w:lang w:eastAsia="hr-HR"/>
              </w:rPr>
              <w:t>76.354,23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B2577F9" w14:textId="77777777" w:rsidR="00CE69C8" w:rsidRPr="00CE69C8" w:rsidRDefault="00CE69C8" w:rsidP="00CE69C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7784B5F" w14:textId="77777777" w:rsidR="00CE69C8" w:rsidRPr="00CE69C8" w:rsidRDefault="00CE69C8" w:rsidP="00CE6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E69C8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7F4E4A99" w14:textId="77777777" w:rsidR="00145819" w:rsidRDefault="00145819" w:rsidP="00760997">
      <w:pPr>
        <w:tabs>
          <w:tab w:val="left" w:pos="4896"/>
        </w:tabs>
        <w:ind w:right="57"/>
        <w:rPr>
          <w:rFonts w:ascii="Arial" w:hAnsi="Arial" w:cs="Arial"/>
          <w:b/>
          <w:bCs/>
          <w:sz w:val="18"/>
          <w:szCs w:val="18"/>
        </w:rPr>
      </w:pPr>
    </w:p>
    <w:p w14:paraId="1B3D5886" w14:textId="77777777" w:rsidR="00E461BF" w:rsidRDefault="00E461BF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10C2EAFA" w14:textId="77777777" w:rsidR="00884312" w:rsidRDefault="00884312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159842EE" w14:textId="77777777" w:rsidR="00884312" w:rsidRDefault="00884312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58DC8557" w14:textId="20BD349E" w:rsidR="00760997" w:rsidRPr="00BF5ACA" w:rsidRDefault="00760997" w:rsidP="00760997">
      <w:pPr>
        <w:ind w:right="57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884312">
        <w:rPr>
          <w:rFonts w:ascii="Arial" w:hAnsi="Arial" w:cs="Arial"/>
          <w:b/>
          <w:i/>
          <w:sz w:val="20"/>
          <w:szCs w:val="20"/>
          <w:u w:val="single"/>
        </w:rPr>
        <w:t>Izvještaj o zad</w:t>
      </w:r>
      <w:r w:rsidR="00E461BF" w:rsidRPr="00884312">
        <w:rPr>
          <w:rFonts w:ascii="Arial" w:hAnsi="Arial" w:cs="Arial"/>
          <w:b/>
          <w:i/>
          <w:sz w:val="20"/>
          <w:szCs w:val="20"/>
          <w:u w:val="single"/>
        </w:rPr>
        <w:t>uživanju i danim</w:t>
      </w:r>
      <w:r w:rsidR="00E461BF" w:rsidRPr="000B63DC">
        <w:rPr>
          <w:rFonts w:ascii="Arial" w:hAnsi="Arial" w:cs="Arial"/>
          <w:b/>
          <w:i/>
          <w:sz w:val="20"/>
          <w:szCs w:val="20"/>
          <w:u w:val="single"/>
        </w:rPr>
        <w:t xml:space="preserve"> jamstvima</w:t>
      </w:r>
      <w:r w:rsidR="00E461BF">
        <w:rPr>
          <w:rFonts w:ascii="Arial" w:hAnsi="Arial" w:cs="Arial"/>
          <w:b/>
          <w:i/>
          <w:sz w:val="20"/>
          <w:szCs w:val="20"/>
          <w:u w:val="single"/>
        </w:rPr>
        <w:t xml:space="preserve"> u 202</w:t>
      </w:r>
      <w:r w:rsidR="009737FD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Pr="00D311EF">
        <w:rPr>
          <w:rFonts w:ascii="Arial" w:hAnsi="Arial" w:cs="Arial"/>
          <w:b/>
          <w:i/>
          <w:sz w:val="18"/>
          <w:szCs w:val="18"/>
          <w:u w:val="single"/>
        </w:rPr>
        <w:t>.</w:t>
      </w:r>
    </w:p>
    <w:p w14:paraId="1EF4380B" w14:textId="35479C2A" w:rsidR="00760997" w:rsidRPr="009737FD" w:rsidRDefault="009737FD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9737FD">
        <w:rPr>
          <w:rFonts w:ascii="Arial" w:hAnsi="Arial" w:cs="Arial"/>
          <w:sz w:val="18"/>
          <w:szCs w:val="18"/>
        </w:rPr>
        <w:t>Otplata glavnice dugoročnog kredita HBOR-a za Projekte Grada,</w:t>
      </w:r>
      <w:r>
        <w:rPr>
          <w:rFonts w:ascii="Arial" w:hAnsi="Arial" w:cs="Arial"/>
          <w:sz w:val="18"/>
          <w:szCs w:val="18"/>
        </w:rPr>
        <w:t xml:space="preserve"> izvršena </w:t>
      </w:r>
      <w:r w:rsidRPr="009737FD">
        <w:rPr>
          <w:rFonts w:ascii="Arial" w:hAnsi="Arial" w:cs="Arial"/>
          <w:sz w:val="18"/>
          <w:szCs w:val="18"/>
        </w:rPr>
        <w:t>refundirani</w:t>
      </w:r>
      <w:r w:rsidR="00E85A46">
        <w:rPr>
          <w:rFonts w:ascii="Arial" w:hAnsi="Arial" w:cs="Arial"/>
          <w:sz w:val="18"/>
          <w:szCs w:val="18"/>
        </w:rPr>
        <w:t>m</w:t>
      </w:r>
      <w:r w:rsidRPr="009737FD">
        <w:rPr>
          <w:rFonts w:ascii="Arial" w:hAnsi="Arial" w:cs="Arial"/>
          <w:sz w:val="18"/>
          <w:szCs w:val="18"/>
        </w:rPr>
        <w:t xml:space="preserve"> bespovratni</w:t>
      </w:r>
      <w:r w:rsidR="00E85A46">
        <w:rPr>
          <w:rFonts w:ascii="Arial" w:hAnsi="Arial" w:cs="Arial"/>
          <w:sz w:val="18"/>
          <w:szCs w:val="18"/>
        </w:rPr>
        <w:t>m</w:t>
      </w:r>
      <w:r w:rsidRPr="009737FD">
        <w:rPr>
          <w:rFonts w:ascii="Arial" w:hAnsi="Arial" w:cs="Arial"/>
          <w:sz w:val="18"/>
          <w:szCs w:val="18"/>
        </w:rPr>
        <w:t xml:space="preserve"> sredst</w:t>
      </w:r>
      <w:r w:rsidR="00E85A46">
        <w:rPr>
          <w:rFonts w:ascii="Arial" w:hAnsi="Arial" w:cs="Arial"/>
          <w:sz w:val="18"/>
          <w:szCs w:val="18"/>
        </w:rPr>
        <w:t>vima</w:t>
      </w:r>
      <w:r w:rsidRPr="009737FD">
        <w:rPr>
          <w:rFonts w:ascii="Arial" w:hAnsi="Arial" w:cs="Arial"/>
          <w:sz w:val="18"/>
          <w:szCs w:val="18"/>
        </w:rPr>
        <w:t xml:space="preserve"> EU, po Zahtjevima za nadoknadom sredstava, </w:t>
      </w:r>
      <w:r>
        <w:rPr>
          <w:rFonts w:ascii="Arial" w:hAnsi="Arial" w:cs="Arial"/>
          <w:sz w:val="18"/>
          <w:szCs w:val="18"/>
        </w:rPr>
        <w:t>iznosi 5.024.830 kn.</w:t>
      </w:r>
      <w:r w:rsidRPr="009737FD">
        <w:rPr>
          <w:rFonts w:ascii="Arial" w:hAnsi="Arial" w:cs="Arial"/>
          <w:sz w:val="18"/>
          <w:szCs w:val="18"/>
        </w:rPr>
        <w:t xml:space="preserve"> Kredit se otplaćuje bespovratnim sredstvima EU, refundiranih prema iznosima plaćenih obaveza dobavljača, potraživanih temeljem Zahtjeva za nadoknadom sredstava. </w:t>
      </w:r>
    </w:p>
    <w:p w14:paraId="459D56BB" w14:textId="31DA7AC6" w:rsidR="00395B80" w:rsidRPr="009737FD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9737FD">
        <w:rPr>
          <w:rFonts w:ascii="Arial" w:hAnsi="Arial" w:cs="Arial"/>
          <w:sz w:val="18"/>
          <w:szCs w:val="18"/>
        </w:rPr>
        <w:t xml:space="preserve">Kamate po </w:t>
      </w:r>
      <w:r w:rsidR="00B93778">
        <w:rPr>
          <w:rFonts w:ascii="Arial" w:hAnsi="Arial" w:cs="Arial"/>
          <w:sz w:val="18"/>
          <w:szCs w:val="18"/>
        </w:rPr>
        <w:t xml:space="preserve">dugoročnom </w:t>
      </w:r>
      <w:r w:rsidRPr="009737FD">
        <w:rPr>
          <w:rFonts w:ascii="Arial" w:hAnsi="Arial" w:cs="Arial"/>
          <w:sz w:val="18"/>
          <w:szCs w:val="18"/>
        </w:rPr>
        <w:t>kreditu HBOR-a za Projekte Grada</w:t>
      </w:r>
      <w:r w:rsidR="009737FD">
        <w:rPr>
          <w:rFonts w:ascii="Arial" w:hAnsi="Arial" w:cs="Arial"/>
          <w:sz w:val="18"/>
          <w:szCs w:val="18"/>
        </w:rPr>
        <w:t xml:space="preserve"> i Modernizaciju javne rasvjete, </w:t>
      </w:r>
      <w:r w:rsidRPr="009737FD">
        <w:rPr>
          <w:rFonts w:ascii="Arial" w:hAnsi="Arial" w:cs="Arial"/>
          <w:sz w:val="18"/>
          <w:szCs w:val="18"/>
        </w:rPr>
        <w:t xml:space="preserve">plaćene su prema dospjeću i u ovom razdoblju iznose </w:t>
      </w:r>
      <w:r w:rsidR="009737FD">
        <w:rPr>
          <w:rFonts w:ascii="Arial" w:hAnsi="Arial" w:cs="Arial"/>
          <w:sz w:val="18"/>
          <w:szCs w:val="18"/>
        </w:rPr>
        <w:t>150.332 kn</w:t>
      </w:r>
      <w:r w:rsidRPr="009737FD">
        <w:rPr>
          <w:rFonts w:ascii="Arial" w:hAnsi="Arial" w:cs="Arial"/>
          <w:sz w:val="18"/>
          <w:szCs w:val="18"/>
        </w:rPr>
        <w:t xml:space="preserve">. </w:t>
      </w:r>
    </w:p>
    <w:p w14:paraId="0C9FEB04" w14:textId="77777777" w:rsidR="00395B80" w:rsidRPr="009737FD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1A16C4E2" w14:textId="77777777" w:rsidR="00760997" w:rsidRPr="00BF5ACA" w:rsidRDefault="00760997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D56503">
        <w:rPr>
          <w:rFonts w:ascii="Arial" w:hAnsi="Arial" w:cs="Arial"/>
          <w:sz w:val="18"/>
          <w:szCs w:val="18"/>
        </w:rPr>
        <w:t>Jamstva nisu</w:t>
      </w:r>
      <w:r w:rsidRPr="00BF5ACA">
        <w:rPr>
          <w:rFonts w:ascii="Arial" w:hAnsi="Arial" w:cs="Arial"/>
          <w:sz w:val="18"/>
          <w:szCs w:val="18"/>
        </w:rPr>
        <w:t xml:space="preserve"> izdavana, zajmovi nisu davani. </w:t>
      </w:r>
    </w:p>
    <w:p w14:paraId="768BBF21" w14:textId="77777777" w:rsidR="00760997" w:rsidRDefault="00760997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6A305B8F" w14:textId="77777777" w:rsidR="00760997" w:rsidRDefault="00760997" w:rsidP="00760997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p w14:paraId="5C355F7B" w14:textId="77777777" w:rsidR="00760997" w:rsidRPr="001003BA" w:rsidRDefault="00760997" w:rsidP="00760997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  <w:r w:rsidRPr="001003BA">
        <w:rPr>
          <w:rFonts w:ascii="Arial" w:hAnsi="Arial" w:cs="Arial"/>
          <w:b/>
          <w:sz w:val="18"/>
          <w:szCs w:val="18"/>
        </w:rPr>
        <w:t>Primljeni zajmovi i otplate</w:t>
      </w: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760"/>
        <w:gridCol w:w="2400"/>
        <w:gridCol w:w="1920"/>
        <w:gridCol w:w="1520"/>
        <w:gridCol w:w="1900"/>
        <w:gridCol w:w="1940"/>
      </w:tblGrid>
      <w:tr w:rsidR="009737FD" w:rsidRPr="009737FD" w14:paraId="47B55291" w14:textId="77777777" w:rsidTr="009737FD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C016FD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3E9C95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9F492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zajma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84302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F5F85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primljeni zajmovi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704935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30.06.</w:t>
            </w:r>
          </w:p>
        </w:tc>
      </w:tr>
      <w:tr w:rsidR="009737FD" w:rsidRPr="009737FD" w14:paraId="321F2BEE" w14:textId="77777777" w:rsidTr="009737FD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5620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CE1B" w14:textId="77777777" w:rsidR="009737FD" w:rsidRPr="009737FD" w:rsidRDefault="009737FD" w:rsidP="00973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2C2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13.796.108,36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1D8B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5.024.830,24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3B15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6974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8.771.278,12</w:t>
            </w:r>
          </w:p>
        </w:tc>
      </w:tr>
      <w:tr w:rsidR="009737FD" w:rsidRPr="009737FD" w14:paraId="453A10AE" w14:textId="77777777" w:rsidTr="009737F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2A6A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265C" w14:textId="77777777" w:rsidR="009737FD" w:rsidRPr="009737FD" w:rsidRDefault="009737FD" w:rsidP="00973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6904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B73C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7182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6.300.000,00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53AF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6.300.000,00</w:t>
            </w:r>
          </w:p>
        </w:tc>
      </w:tr>
      <w:tr w:rsidR="009737FD" w:rsidRPr="009737FD" w14:paraId="5DA26FEE" w14:textId="77777777" w:rsidTr="009737F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9EAE36" w14:textId="77777777" w:rsidR="009737FD" w:rsidRPr="009737FD" w:rsidRDefault="009737FD" w:rsidP="00973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8E4700" w14:textId="77777777" w:rsidR="009737FD" w:rsidRPr="009737FD" w:rsidRDefault="009737FD" w:rsidP="00973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46AEBB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13.796.108,36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AA0CB6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5.024.830,24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B64E40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6.300.000,00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E4C691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15.071.278,12</w:t>
            </w:r>
          </w:p>
        </w:tc>
      </w:tr>
    </w:tbl>
    <w:p w14:paraId="069CC60F" w14:textId="77777777" w:rsidR="00760997" w:rsidRPr="001003BA" w:rsidRDefault="00760997" w:rsidP="00760997">
      <w:pPr>
        <w:spacing w:after="0"/>
        <w:rPr>
          <w:vanish/>
        </w:rPr>
      </w:pPr>
    </w:p>
    <w:p w14:paraId="17F1FB16" w14:textId="77777777" w:rsidR="00760997" w:rsidRPr="00E363AE" w:rsidRDefault="00760997" w:rsidP="00760997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335" w:type="dxa"/>
        <w:tblInd w:w="113" w:type="dxa"/>
        <w:tblLook w:val="04A0" w:firstRow="1" w:lastRow="0" w:firstColumn="1" w:lastColumn="0" w:noHBand="0" w:noVBand="1"/>
      </w:tblPr>
      <w:tblGrid>
        <w:gridCol w:w="704"/>
        <w:gridCol w:w="56"/>
        <w:gridCol w:w="2400"/>
        <w:gridCol w:w="1920"/>
        <w:gridCol w:w="1520"/>
        <w:gridCol w:w="1900"/>
        <w:gridCol w:w="1708"/>
        <w:gridCol w:w="232"/>
        <w:gridCol w:w="1228"/>
        <w:gridCol w:w="1400"/>
        <w:gridCol w:w="1267"/>
      </w:tblGrid>
      <w:tr w:rsidR="00760997" w:rsidRPr="001003BA" w14:paraId="5E20A315" w14:textId="77777777" w:rsidTr="009737FD">
        <w:trPr>
          <w:gridBefore w:val="1"/>
          <w:wBefore w:w="704" w:type="dxa"/>
          <w:trHeight w:val="240"/>
        </w:trPr>
        <w:tc>
          <w:tcPr>
            <w:tcW w:w="9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2DF2" w14:textId="77777777" w:rsidR="00760997" w:rsidRPr="001003BA" w:rsidRDefault="00760997" w:rsidP="00405F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0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Dospjele kamate na zajmove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42D" w14:textId="77777777"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BBDC" w14:textId="77777777"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B286" w14:textId="77777777" w:rsidR="00760997" w:rsidRPr="001003BA" w:rsidRDefault="00760997" w:rsidP="00405F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7FD" w:rsidRPr="009737FD" w14:paraId="2BAC1FE4" w14:textId="77777777" w:rsidTr="009737FD">
        <w:trPr>
          <w:gridAfter w:val="3"/>
          <w:wAfter w:w="3895" w:type="dxa"/>
          <w:trHeight w:val="63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5688B8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7BBF4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8279EC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8C3D5B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dospjele kamate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1AB81C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plaćene kamate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15BACE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30.06.</w:t>
            </w:r>
          </w:p>
        </w:tc>
      </w:tr>
      <w:tr w:rsidR="009737FD" w:rsidRPr="009737FD" w14:paraId="3CF34DB5" w14:textId="77777777" w:rsidTr="009737FD">
        <w:trPr>
          <w:gridAfter w:val="3"/>
          <w:wAfter w:w="3895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4A5E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822" w14:textId="77777777" w:rsidR="009737FD" w:rsidRPr="009737FD" w:rsidRDefault="009737FD" w:rsidP="00973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534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8151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149.895,97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C776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149.895,97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B4D5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37FD" w:rsidRPr="009737FD" w14:paraId="38964CDC" w14:textId="77777777" w:rsidTr="009737FD">
        <w:trPr>
          <w:gridAfter w:val="3"/>
          <w:wAfter w:w="3895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FC2F" w14:textId="77777777" w:rsidR="009737FD" w:rsidRPr="009737FD" w:rsidRDefault="009737FD" w:rsidP="00973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256" w14:textId="77777777" w:rsidR="009737FD" w:rsidRPr="009737FD" w:rsidRDefault="009737FD" w:rsidP="00973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3039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D285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436,14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405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436,14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9FBF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737FD" w:rsidRPr="009737FD" w14:paraId="31128D08" w14:textId="77777777" w:rsidTr="009737FD">
        <w:trPr>
          <w:gridAfter w:val="3"/>
          <w:wAfter w:w="3895" w:type="dxa"/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0F721B" w14:textId="77777777" w:rsidR="009737FD" w:rsidRPr="009737FD" w:rsidRDefault="009737FD" w:rsidP="00973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995C02" w14:textId="77777777" w:rsidR="009737FD" w:rsidRPr="009737FD" w:rsidRDefault="009737FD" w:rsidP="00973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BAFA2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3DE42C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150.332,11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72B74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150.332,11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AAED9" w14:textId="77777777" w:rsidR="009737FD" w:rsidRPr="009737FD" w:rsidRDefault="009737FD" w:rsidP="009737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73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14:paraId="70B4E178" w14:textId="77777777" w:rsidR="00760997" w:rsidRDefault="00760997" w:rsidP="00760997"/>
    <w:p w14:paraId="3B4D764F" w14:textId="77777777" w:rsidR="009737FD" w:rsidRDefault="009737FD" w:rsidP="00926F53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ECD31CC" w14:textId="77777777" w:rsidR="002E3B4D" w:rsidRDefault="002E3B4D" w:rsidP="00926F53">
      <w:pPr>
        <w:spacing w:line="240" w:lineRule="auto"/>
        <w:jc w:val="both"/>
        <w:rPr>
          <w:rFonts w:ascii="Arial" w:hAnsi="Arial" w:cs="Arial"/>
          <w:b/>
          <w:i/>
          <w:u w:val="single"/>
        </w:rPr>
      </w:pPr>
    </w:p>
    <w:p w14:paraId="6A1871CE" w14:textId="77777777" w:rsidR="002E3B4D" w:rsidRDefault="002E3B4D" w:rsidP="00926F53">
      <w:pPr>
        <w:spacing w:line="240" w:lineRule="auto"/>
        <w:jc w:val="both"/>
        <w:rPr>
          <w:rFonts w:ascii="Arial" w:hAnsi="Arial" w:cs="Arial"/>
          <w:b/>
          <w:i/>
          <w:u w:val="single"/>
        </w:rPr>
      </w:pPr>
    </w:p>
    <w:p w14:paraId="2293F158" w14:textId="77777777" w:rsidR="002E3B4D" w:rsidRDefault="002E3B4D" w:rsidP="00926F53">
      <w:pPr>
        <w:spacing w:line="240" w:lineRule="auto"/>
        <w:jc w:val="both"/>
        <w:rPr>
          <w:rFonts w:ascii="Arial" w:hAnsi="Arial" w:cs="Arial"/>
          <w:b/>
          <w:i/>
          <w:u w:val="single"/>
        </w:rPr>
      </w:pPr>
    </w:p>
    <w:p w14:paraId="5DD45999" w14:textId="46D2DDCE" w:rsidR="00760997" w:rsidRPr="00D25992" w:rsidRDefault="00760997" w:rsidP="00926F53">
      <w:pPr>
        <w:spacing w:line="240" w:lineRule="auto"/>
        <w:jc w:val="both"/>
        <w:rPr>
          <w:rFonts w:ascii="Arial" w:hAnsi="Arial" w:cs="Arial"/>
          <w:b/>
          <w:i/>
          <w:u w:val="single"/>
        </w:rPr>
      </w:pPr>
      <w:r w:rsidRPr="00D25992">
        <w:rPr>
          <w:rFonts w:ascii="Arial" w:hAnsi="Arial" w:cs="Arial"/>
          <w:b/>
          <w:i/>
          <w:u w:val="single"/>
        </w:rPr>
        <w:lastRenderedPageBreak/>
        <w:t>Stanje nenaplaćenih potraživanja</w:t>
      </w:r>
    </w:p>
    <w:p w14:paraId="21379464" w14:textId="55B898C2" w:rsidR="00FB0593" w:rsidRPr="00EB5B7E" w:rsidRDefault="004D427A" w:rsidP="00FB0593">
      <w:pPr>
        <w:tabs>
          <w:tab w:val="left" w:pos="4992"/>
        </w:tabs>
        <w:ind w:right="57"/>
        <w:jc w:val="both"/>
        <w:rPr>
          <w:rFonts w:ascii="Arial" w:hAnsi="Arial" w:cs="Arial"/>
          <w:sz w:val="18"/>
          <w:szCs w:val="18"/>
        </w:rPr>
      </w:pPr>
      <w:r w:rsidRPr="00EB5B7E">
        <w:rPr>
          <w:rFonts w:ascii="Arial" w:hAnsi="Arial" w:cs="Arial"/>
          <w:sz w:val="18"/>
          <w:szCs w:val="18"/>
        </w:rPr>
        <w:t>Na dan 30.06.202</w:t>
      </w:r>
      <w:r w:rsidR="002E3B4D">
        <w:rPr>
          <w:rFonts w:ascii="Arial" w:hAnsi="Arial" w:cs="Arial"/>
          <w:sz w:val="18"/>
          <w:szCs w:val="18"/>
        </w:rPr>
        <w:t>2</w:t>
      </w:r>
      <w:r w:rsidR="00760997" w:rsidRPr="00EB5B7E">
        <w:rPr>
          <w:rFonts w:ascii="Arial" w:hAnsi="Arial" w:cs="Arial"/>
          <w:sz w:val="18"/>
          <w:szCs w:val="18"/>
        </w:rPr>
        <w:t>.</w:t>
      </w:r>
      <w:r w:rsidR="002E3B4D">
        <w:rPr>
          <w:rFonts w:ascii="Arial" w:hAnsi="Arial" w:cs="Arial"/>
          <w:sz w:val="18"/>
          <w:szCs w:val="18"/>
        </w:rPr>
        <w:t xml:space="preserve"> </w:t>
      </w:r>
      <w:r w:rsidR="00760997" w:rsidRPr="00EB5B7E">
        <w:rPr>
          <w:rFonts w:ascii="Arial" w:hAnsi="Arial" w:cs="Arial"/>
          <w:sz w:val="18"/>
          <w:szCs w:val="18"/>
        </w:rPr>
        <w:t xml:space="preserve">godine ukupan iznos nenaplaćenih potraživanja Proračuna iznosi </w:t>
      </w:r>
      <w:r w:rsidR="006D13C7" w:rsidRPr="00EB5B7E">
        <w:rPr>
          <w:rFonts w:ascii="Arial" w:hAnsi="Arial" w:cs="Arial"/>
          <w:sz w:val="18"/>
          <w:szCs w:val="18"/>
        </w:rPr>
        <w:t>1</w:t>
      </w:r>
      <w:r w:rsidR="00FB0593" w:rsidRPr="00EB5B7E">
        <w:rPr>
          <w:rFonts w:ascii="Arial" w:hAnsi="Arial" w:cs="Arial"/>
          <w:sz w:val="18"/>
          <w:szCs w:val="18"/>
        </w:rPr>
        <w:t>1.</w:t>
      </w:r>
      <w:r w:rsidR="002E3B4D">
        <w:rPr>
          <w:rFonts w:ascii="Arial" w:hAnsi="Arial" w:cs="Arial"/>
          <w:sz w:val="18"/>
          <w:szCs w:val="18"/>
        </w:rPr>
        <w:t>266.542 kn.</w:t>
      </w:r>
      <w:r w:rsidR="00FB0593" w:rsidRPr="00EB5B7E">
        <w:rPr>
          <w:rFonts w:ascii="Arial" w:hAnsi="Arial" w:cs="Arial"/>
          <w:sz w:val="18"/>
          <w:szCs w:val="18"/>
        </w:rPr>
        <w:t xml:space="preserve"> Iznosi potraživanja </w:t>
      </w:r>
      <w:r w:rsidR="002E3B4D">
        <w:rPr>
          <w:rFonts w:ascii="Arial" w:hAnsi="Arial" w:cs="Arial"/>
          <w:sz w:val="18"/>
          <w:szCs w:val="18"/>
        </w:rPr>
        <w:t>do</w:t>
      </w:r>
      <w:r w:rsidR="00FB0593" w:rsidRPr="00EB5B7E">
        <w:rPr>
          <w:rFonts w:ascii="Arial" w:hAnsi="Arial" w:cs="Arial"/>
          <w:sz w:val="18"/>
          <w:szCs w:val="18"/>
        </w:rPr>
        <w:t xml:space="preserve"> </w:t>
      </w:r>
      <w:r w:rsidR="002E3B4D">
        <w:rPr>
          <w:rFonts w:ascii="Arial" w:hAnsi="Arial" w:cs="Arial"/>
          <w:sz w:val="18"/>
          <w:szCs w:val="18"/>
        </w:rPr>
        <w:t xml:space="preserve">kraja </w:t>
      </w:r>
      <w:r w:rsidR="00FB0593" w:rsidRPr="00EB5B7E">
        <w:rPr>
          <w:rFonts w:ascii="Arial" w:hAnsi="Arial" w:cs="Arial"/>
          <w:sz w:val="18"/>
          <w:szCs w:val="18"/>
        </w:rPr>
        <w:t>201</w:t>
      </w:r>
      <w:r w:rsidR="002E3B4D">
        <w:rPr>
          <w:rFonts w:ascii="Arial" w:hAnsi="Arial" w:cs="Arial"/>
          <w:sz w:val="18"/>
          <w:szCs w:val="18"/>
        </w:rPr>
        <w:t xml:space="preserve">5. </w:t>
      </w:r>
      <w:r w:rsidR="00FB0593" w:rsidRPr="00EB5B7E">
        <w:rPr>
          <w:rFonts w:ascii="Arial" w:hAnsi="Arial" w:cs="Arial"/>
          <w:sz w:val="18"/>
          <w:szCs w:val="18"/>
        </w:rPr>
        <w:t>godine, otpisat će se sukladno zakonskim propisima o zastari prava na naplatu.</w:t>
      </w:r>
    </w:p>
    <w:p w14:paraId="34887BC4" w14:textId="77777777" w:rsidR="00250FF3" w:rsidRDefault="00250FF3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</w:p>
    <w:p w14:paraId="44ECB0DF" w14:textId="55AEF8B8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  <w:r w:rsidRPr="00D25992">
        <w:rPr>
          <w:rFonts w:ascii="Arial" w:hAnsi="Arial" w:cs="Arial"/>
          <w:b/>
          <w:i/>
          <w:u w:val="single"/>
        </w:rPr>
        <w:t>Stanje nepodmirenih dospjelih obveza</w:t>
      </w:r>
    </w:p>
    <w:p w14:paraId="474A268A" w14:textId="4E193EDB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  <w:r w:rsidRPr="00D25992">
        <w:rPr>
          <w:rFonts w:ascii="Arial" w:hAnsi="Arial" w:cs="Arial"/>
          <w:sz w:val="18"/>
          <w:szCs w:val="18"/>
        </w:rPr>
        <w:t>Nepodmirene dospjele obveze Proračuna n</w:t>
      </w:r>
      <w:r w:rsidR="004D427A" w:rsidRPr="00D25992">
        <w:rPr>
          <w:rFonts w:ascii="Arial" w:hAnsi="Arial" w:cs="Arial"/>
          <w:sz w:val="18"/>
          <w:szCs w:val="18"/>
        </w:rPr>
        <w:t>a dan 30.06.20</w:t>
      </w:r>
      <w:r w:rsidR="00FB0593" w:rsidRPr="00D25992">
        <w:rPr>
          <w:rFonts w:ascii="Arial" w:hAnsi="Arial" w:cs="Arial"/>
          <w:sz w:val="18"/>
          <w:szCs w:val="18"/>
        </w:rPr>
        <w:t>2</w:t>
      </w:r>
      <w:r w:rsidR="002E3B4D">
        <w:rPr>
          <w:rFonts w:ascii="Arial" w:hAnsi="Arial" w:cs="Arial"/>
          <w:sz w:val="18"/>
          <w:szCs w:val="18"/>
        </w:rPr>
        <w:t>2</w:t>
      </w:r>
      <w:r w:rsidR="006D13C7" w:rsidRPr="00D25992">
        <w:rPr>
          <w:rFonts w:ascii="Arial" w:hAnsi="Arial" w:cs="Arial"/>
          <w:sz w:val="18"/>
          <w:szCs w:val="18"/>
        </w:rPr>
        <w:t xml:space="preserve">.godine iznose </w:t>
      </w:r>
      <w:r w:rsidR="002E3B4D">
        <w:rPr>
          <w:rFonts w:ascii="Arial" w:hAnsi="Arial" w:cs="Arial"/>
          <w:sz w:val="18"/>
          <w:szCs w:val="18"/>
        </w:rPr>
        <w:t>4.857.357</w:t>
      </w:r>
      <w:r w:rsidR="006D13C7" w:rsidRPr="00D25992">
        <w:rPr>
          <w:rFonts w:ascii="Arial" w:hAnsi="Arial" w:cs="Arial"/>
          <w:sz w:val="18"/>
          <w:szCs w:val="18"/>
        </w:rPr>
        <w:t xml:space="preserve"> kn</w:t>
      </w:r>
      <w:r w:rsidRPr="00D25992">
        <w:rPr>
          <w:rFonts w:ascii="Arial" w:hAnsi="Arial" w:cs="Arial"/>
          <w:sz w:val="18"/>
          <w:szCs w:val="18"/>
        </w:rPr>
        <w:t>.</w:t>
      </w:r>
    </w:p>
    <w:p w14:paraId="02B55993" w14:textId="77777777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sz w:val="18"/>
          <w:szCs w:val="18"/>
        </w:rPr>
      </w:pPr>
    </w:p>
    <w:p w14:paraId="0239FCED" w14:textId="77777777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  <w:r w:rsidRPr="00D25992">
        <w:rPr>
          <w:rFonts w:ascii="Arial" w:hAnsi="Arial" w:cs="Arial"/>
          <w:b/>
          <w:i/>
          <w:u w:val="single"/>
        </w:rPr>
        <w:t>Stanje potencijalnih obveza po osnovi sudskih i ostalih postupaka</w:t>
      </w:r>
    </w:p>
    <w:p w14:paraId="1CA58BFE" w14:textId="77777777" w:rsidR="00250FF3" w:rsidRPr="00D04794" w:rsidRDefault="00250FF3" w:rsidP="00250FF3">
      <w:pPr>
        <w:tabs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D04794">
        <w:rPr>
          <w:rFonts w:ascii="Arial" w:hAnsi="Arial" w:cs="Arial"/>
          <w:sz w:val="20"/>
          <w:szCs w:val="20"/>
        </w:rPr>
        <w:t xml:space="preserve">Stanje potencijalnih obaveza po osnovi sudskih postupaka iznosi </w:t>
      </w:r>
      <w:r>
        <w:rPr>
          <w:rFonts w:ascii="Arial" w:hAnsi="Arial" w:cs="Arial"/>
          <w:b/>
          <w:sz w:val="20"/>
          <w:szCs w:val="20"/>
        </w:rPr>
        <w:t xml:space="preserve">7.566.811 </w:t>
      </w:r>
      <w:r>
        <w:rPr>
          <w:rFonts w:ascii="Arial" w:hAnsi="Arial" w:cs="Arial"/>
          <w:sz w:val="20"/>
          <w:szCs w:val="20"/>
        </w:rPr>
        <w:t>kn</w:t>
      </w:r>
      <w:r w:rsidRPr="00D04794">
        <w:rPr>
          <w:rFonts w:ascii="Arial" w:hAnsi="Arial" w:cs="Arial"/>
          <w:sz w:val="20"/>
          <w:szCs w:val="20"/>
        </w:rPr>
        <w:t xml:space="preserve"> (bez kamata i troškova postupka) i odnosi se pretežito (7.364.545 kn) na naknadu za oduzete nekretnine označene kao čest.zem. 655/17, 655/147 i 655/148 k.o.Korčula (kamp Kalac)</w:t>
      </w:r>
      <w:r>
        <w:rPr>
          <w:rFonts w:ascii="Arial" w:hAnsi="Arial" w:cs="Arial"/>
          <w:sz w:val="20"/>
          <w:szCs w:val="20"/>
        </w:rPr>
        <w:t>,</w:t>
      </w:r>
      <w:r w:rsidRPr="00D04794">
        <w:rPr>
          <w:rFonts w:ascii="Arial" w:hAnsi="Arial" w:cs="Arial"/>
          <w:sz w:val="20"/>
          <w:szCs w:val="20"/>
        </w:rPr>
        <w:t xml:space="preserve"> kao i na utvrđivanje prava vlasniš</w:t>
      </w:r>
      <w:r>
        <w:rPr>
          <w:rFonts w:ascii="Arial" w:hAnsi="Arial" w:cs="Arial"/>
          <w:sz w:val="20"/>
          <w:szCs w:val="20"/>
        </w:rPr>
        <w:t>tva određenih tužitelja fizičkih osoba (202.266</w:t>
      </w:r>
      <w:r w:rsidRPr="00D04794">
        <w:rPr>
          <w:rFonts w:ascii="Arial" w:hAnsi="Arial" w:cs="Arial"/>
          <w:sz w:val="20"/>
          <w:szCs w:val="20"/>
        </w:rPr>
        <w:t xml:space="preserve"> kn).</w:t>
      </w:r>
    </w:p>
    <w:p w14:paraId="356C9232" w14:textId="77777777" w:rsidR="00760997" w:rsidRPr="00D25992" w:rsidRDefault="00760997" w:rsidP="00926F53">
      <w:pPr>
        <w:tabs>
          <w:tab w:val="left" w:pos="4992"/>
        </w:tabs>
        <w:spacing w:line="240" w:lineRule="auto"/>
        <w:ind w:right="57"/>
        <w:jc w:val="both"/>
        <w:rPr>
          <w:rFonts w:ascii="Arial" w:hAnsi="Arial" w:cs="Arial"/>
          <w:b/>
          <w:i/>
          <w:u w:val="single"/>
        </w:rPr>
      </w:pPr>
    </w:p>
    <w:p w14:paraId="0B01E8B7" w14:textId="77777777" w:rsidR="00760997" w:rsidRDefault="00760997" w:rsidP="00760997"/>
    <w:p w14:paraId="63495945" w14:textId="77777777" w:rsidR="00760997" w:rsidRDefault="00760997" w:rsidP="00760997"/>
    <w:p w14:paraId="0FF28D07" w14:textId="77777777" w:rsidR="00760997" w:rsidRDefault="00760997" w:rsidP="00760997"/>
    <w:p w14:paraId="6718FAAA" w14:textId="77777777" w:rsidR="00760997" w:rsidRDefault="00760997" w:rsidP="00760997"/>
    <w:p w14:paraId="445543A5" w14:textId="77777777" w:rsidR="00760997" w:rsidRDefault="00760997" w:rsidP="00760997"/>
    <w:p w14:paraId="1610DC66" w14:textId="77777777" w:rsidR="00760997" w:rsidRDefault="00760997" w:rsidP="00760997"/>
    <w:p w14:paraId="1FE3E529" w14:textId="77777777" w:rsidR="00760997" w:rsidRDefault="00760997" w:rsidP="00760997"/>
    <w:p w14:paraId="04DB20E7" w14:textId="77777777" w:rsidR="001A631C" w:rsidRDefault="001A631C"/>
    <w:sectPr w:rsidR="001A631C" w:rsidSect="00405F2A">
      <w:footerReference w:type="default" r:id="rId12"/>
      <w:pgSz w:w="15840" w:h="12240" w:orient="landscape"/>
      <w:pgMar w:top="1418" w:right="1418" w:bottom="680" w:left="1418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98E2" w14:textId="77777777" w:rsidR="003C77B3" w:rsidRDefault="003C77B3" w:rsidP="00E86DF3">
      <w:pPr>
        <w:spacing w:after="0" w:line="240" w:lineRule="auto"/>
      </w:pPr>
      <w:r>
        <w:separator/>
      </w:r>
    </w:p>
  </w:endnote>
  <w:endnote w:type="continuationSeparator" w:id="0">
    <w:p w14:paraId="7B09D5EF" w14:textId="77777777" w:rsidR="003C77B3" w:rsidRDefault="003C77B3" w:rsidP="00E8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3094"/>
      <w:docPartObj>
        <w:docPartGallery w:val="Page Numbers (Bottom of Page)"/>
        <w:docPartUnique/>
      </w:docPartObj>
    </w:sdtPr>
    <w:sdtContent>
      <w:p w14:paraId="7CEB8D79" w14:textId="77777777" w:rsidR="005859D2" w:rsidRDefault="005F4A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8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39F680B" w14:textId="77777777" w:rsidR="005859D2" w:rsidRDefault="00585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72E4" w14:textId="77777777" w:rsidR="003C77B3" w:rsidRDefault="003C77B3" w:rsidP="00E86DF3">
      <w:pPr>
        <w:spacing w:after="0" w:line="240" w:lineRule="auto"/>
      </w:pPr>
      <w:r>
        <w:separator/>
      </w:r>
    </w:p>
  </w:footnote>
  <w:footnote w:type="continuationSeparator" w:id="0">
    <w:p w14:paraId="5119BBD2" w14:textId="77777777" w:rsidR="003C77B3" w:rsidRDefault="003C77B3" w:rsidP="00E8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D41"/>
    <w:multiLevelType w:val="hybridMultilevel"/>
    <w:tmpl w:val="5EAE91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1AB9"/>
    <w:multiLevelType w:val="hybridMultilevel"/>
    <w:tmpl w:val="C464B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474F"/>
    <w:multiLevelType w:val="hybridMultilevel"/>
    <w:tmpl w:val="E092C1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1687">
    <w:abstractNumId w:val="1"/>
  </w:num>
  <w:num w:numId="2" w16cid:durableId="531187195">
    <w:abstractNumId w:val="0"/>
  </w:num>
  <w:num w:numId="3" w16cid:durableId="214670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97"/>
    <w:rsid w:val="00003FEF"/>
    <w:rsid w:val="00016FD7"/>
    <w:rsid w:val="00022F14"/>
    <w:rsid w:val="000233C4"/>
    <w:rsid w:val="000268B5"/>
    <w:rsid w:val="00036AC9"/>
    <w:rsid w:val="0006646F"/>
    <w:rsid w:val="00071140"/>
    <w:rsid w:val="000740B3"/>
    <w:rsid w:val="00081833"/>
    <w:rsid w:val="000965BC"/>
    <w:rsid w:val="000B0B67"/>
    <w:rsid w:val="000B26C6"/>
    <w:rsid w:val="000B63DC"/>
    <w:rsid w:val="000E7D7C"/>
    <w:rsid w:val="000F4158"/>
    <w:rsid w:val="001107F8"/>
    <w:rsid w:val="00120BD4"/>
    <w:rsid w:val="0012563D"/>
    <w:rsid w:val="00131A87"/>
    <w:rsid w:val="00145819"/>
    <w:rsid w:val="001460CC"/>
    <w:rsid w:val="00170CAB"/>
    <w:rsid w:val="00181E64"/>
    <w:rsid w:val="00181ECE"/>
    <w:rsid w:val="001A136D"/>
    <w:rsid w:val="001A631C"/>
    <w:rsid w:val="001B29BF"/>
    <w:rsid w:val="001B3783"/>
    <w:rsid w:val="001C34C5"/>
    <w:rsid w:val="001C5AC8"/>
    <w:rsid w:val="001C6C3A"/>
    <w:rsid w:val="001F78B6"/>
    <w:rsid w:val="0020391E"/>
    <w:rsid w:val="00231984"/>
    <w:rsid w:val="0023742E"/>
    <w:rsid w:val="002379A6"/>
    <w:rsid w:val="00244EA9"/>
    <w:rsid w:val="00250FF3"/>
    <w:rsid w:val="0026241F"/>
    <w:rsid w:val="00286202"/>
    <w:rsid w:val="002C645F"/>
    <w:rsid w:val="002D0C04"/>
    <w:rsid w:val="002D7A86"/>
    <w:rsid w:val="002E020F"/>
    <w:rsid w:val="002E1181"/>
    <w:rsid w:val="002E3B4D"/>
    <w:rsid w:val="002E58E1"/>
    <w:rsid w:val="002F2993"/>
    <w:rsid w:val="002F3338"/>
    <w:rsid w:val="00300E9B"/>
    <w:rsid w:val="00310690"/>
    <w:rsid w:val="003209FD"/>
    <w:rsid w:val="00323F1D"/>
    <w:rsid w:val="00335670"/>
    <w:rsid w:val="00343027"/>
    <w:rsid w:val="003672B7"/>
    <w:rsid w:val="00375523"/>
    <w:rsid w:val="00384E13"/>
    <w:rsid w:val="00391BF4"/>
    <w:rsid w:val="00395B80"/>
    <w:rsid w:val="003A788B"/>
    <w:rsid w:val="003C0E80"/>
    <w:rsid w:val="003C77B3"/>
    <w:rsid w:val="003D2BFC"/>
    <w:rsid w:val="003D4E96"/>
    <w:rsid w:val="003D634A"/>
    <w:rsid w:val="003E2B52"/>
    <w:rsid w:val="003F4DAE"/>
    <w:rsid w:val="003F6EE6"/>
    <w:rsid w:val="00401DCF"/>
    <w:rsid w:val="00405F2A"/>
    <w:rsid w:val="00406121"/>
    <w:rsid w:val="00412C33"/>
    <w:rsid w:val="00412ED3"/>
    <w:rsid w:val="00414411"/>
    <w:rsid w:val="00416A60"/>
    <w:rsid w:val="004233A2"/>
    <w:rsid w:val="0043480B"/>
    <w:rsid w:val="00434E6F"/>
    <w:rsid w:val="0044293B"/>
    <w:rsid w:val="00445BBF"/>
    <w:rsid w:val="00454610"/>
    <w:rsid w:val="004665C9"/>
    <w:rsid w:val="00470816"/>
    <w:rsid w:val="004A2232"/>
    <w:rsid w:val="004A2A59"/>
    <w:rsid w:val="004A6234"/>
    <w:rsid w:val="004A6BC3"/>
    <w:rsid w:val="004C2A67"/>
    <w:rsid w:val="004C45D8"/>
    <w:rsid w:val="004D336E"/>
    <w:rsid w:val="004D427A"/>
    <w:rsid w:val="004E56F6"/>
    <w:rsid w:val="004E7495"/>
    <w:rsid w:val="0050049F"/>
    <w:rsid w:val="00502306"/>
    <w:rsid w:val="00520CB9"/>
    <w:rsid w:val="0052776B"/>
    <w:rsid w:val="00532666"/>
    <w:rsid w:val="0053796F"/>
    <w:rsid w:val="00544179"/>
    <w:rsid w:val="00547F64"/>
    <w:rsid w:val="0055159B"/>
    <w:rsid w:val="0058180E"/>
    <w:rsid w:val="005859D2"/>
    <w:rsid w:val="00595F01"/>
    <w:rsid w:val="00597086"/>
    <w:rsid w:val="005A7C39"/>
    <w:rsid w:val="005B0802"/>
    <w:rsid w:val="005B5A0D"/>
    <w:rsid w:val="005F13D1"/>
    <w:rsid w:val="005F4A35"/>
    <w:rsid w:val="00617057"/>
    <w:rsid w:val="006255F3"/>
    <w:rsid w:val="00626896"/>
    <w:rsid w:val="00631241"/>
    <w:rsid w:val="00636131"/>
    <w:rsid w:val="0064123B"/>
    <w:rsid w:val="006627A7"/>
    <w:rsid w:val="00662F55"/>
    <w:rsid w:val="00663CA6"/>
    <w:rsid w:val="00664014"/>
    <w:rsid w:val="00671E56"/>
    <w:rsid w:val="006722CE"/>
    <w:rsid w:val="00672C1D"/>
    <w:rsid w:val="006861E6"/>
    <w:rsid w:val="006A7B40"/>
    <w:rsid w:val="006B2C6D"/>
    <w:rsid w:val="006B4F38"/>
    <w:rsid w:val="006C43AF"/>
    <w:rsid w:val="006C47B9"/>
    <w:rsid w:val="006C4A82"/>
    <w:rsid w:val="006D13C7"/>
    <w:rsid w:val="006D1DE8"/>
    <w:rsid w:val="006E6BEF"/>
    <w:rsid w:val="006F51F1"/>
    <w:rsid w:val="00703EF4"/>
    <w:rsid w:val="0071572F"/>
    <w:rsid w:val="00735916"/>
    <w:rsid w:val="00760997"/>
    <w:rsid w:val="00762218"/>
    <w:rsid w:val="00774081"/>
    <w:rsid w:val="00774CB7"/>
    <w:rsid w:val="007779C8"/>
    <w:rsid w:val="007A4EE4"/>
    <w:rsid w:val="007D6B90"/>
    <w:rsid w:val="007E17D7"/>
    <w:rsid w:val="007E24A7"/>
    <w:rsid w:val="007E75C6"/>
    <w:rsid w:val="007F5459"/>
    <w:rsid w:val="007F57CA"/>
    <w:rsid w:val="00811A5F"/>
    <w:rsid w:val="008132DA"/>
    <w:rsid w:val="00813EF2"/>
    <w:rsid w:val="00814827"/>
    <w:rsid w:val="00820AF0"/>
    <w:rsid w:val="0082669D"/>
    <w:rsid w:val="0083767D"/>
    <w:rsid w:val="008413C9"/>
    <w:rsid w:val="00842EFC"/>
    <w:rsid w:val="00844AEA"/>
    <w:rsid w:val="008465C5"/>
    <w:rsid w:val="00862642"/>
    <w:rsid w:val="008650BD"/>
    <w:rsid w:val="00881D01"/>
    <w:rsid w:val="008826B2"/>
    <w:rsid w:val="00884312"/>
    <w:rsid w:val="00895FA9"/>
    <w:rsid w:val="008B1E87"/>
    <w:rsid w:val="008C279F"/>
    <w:rsid w:val="008D1006"/>
    <w:rsid w:val="008D4AC5"/>
    <w:rsid w:val="008D4E62"/>
    <w:rsid w:val="008E097A"/>
    <w:rsid w:val="008F3957"/>
    <w:rsid w:val="00905760"/>
    <w:rsid w:val="009101EE"/>
    <w:rsid w:val="0091527B"/>
    <w:rsid w:val="00926F53"/>
    <w:rsid w:val="00937569"/>
    <w:rsid w:val="00942953"/>
    <w:rsid w:val="0095024E"/>
    <w:rsid w:val="009555AD"/>
    <w:rsid w:val="00956818"/>
    <w:rsid w:val="00956C83"/>
    <w:rsid w:val="009737FD"/>
    <w:rsid w:val="00994228"/>
    <w:rsid w:val="009958D1"/>
    <w:rsid w:val="009B4F73"/>
    <w:rsid w:val="009D7EF0"/>
    <w:rsid w:val="009F013C"/>
    <w:rsid w:val="009F235E"/>
    <w:rsid w:val="009F782E"/>
    <w:rsid w:val="00A02CDA"/>
    <w:rsid w:val="00A05E41"/>
    <w:rsid w:val="00A10159"/>
    <w:rsid w:val="00A10B42"/>
    <w:rsid w:val="00A14BD5"/>
    <w:rsid w:val="00A14CB1"/>
    <w:rsid w:val="00A249FD"/>
    <w:rsid w:val="00A251D6"/>
    <w:rsid w:val="00A30342"/>
    <w:rsid w:val="00A3782A"/>
    <w:rsid w:val="00A43E88"/>
    <w:rsid w:val="00A471B0"/>
    <w:rsid w:val="00A5505B"/>
    <w:rsid w:val="00A56D38"/>
    <w:rsid w:val="00A83089"/>
    <w:rsid w:val="00A92EA0"/>
    <w:rsid w:val="00A96D49"/>
    <w:rsid w:val="00A9757A"/>
    <w:rsid w:val="00AA01FB"/>
    <w:rsid w:val="00AA372D"/>
    <w:rsid w:val="00AB0796"/>
    <w:rsid w:val="00AD1511"/>
    <w:rsid w:val="00AF2B3D"/>
    <w:rsid w:val="00AF3D5F"/>
    <w:rsid w:val="00B01214"/>
    <w:rsid w:val="00B04CBF"/>
    <w:rsid w:val="00B06EF8"/>
    <w:rsid w:val="00B12DAE"/>
    <w:rsid w:val="00B55807"/>
    <w:rsid w:val="00B66239"/>
    <w:rsid w:val="00B6714B"/>
    <w:rsid w:val="00B70B66"/>
    <w:rsid w:val="00B76F08"/>
    <w:rsid w:val="00B85ACA"/>
    <w:rsid w:val="00B910B1"/>
    <w:rsid w:val="00B93778"/>
    <w:rsid w:val="00BA2E8F"/>
    <w:rsid w:val="00BA38AD"/>
    <w:rsid w:val="00BB1677"/>
    <w:rsid w:val="00BB3AA1"/>
    <w:rsid w:val="00BC1991"/>
    <w:rsid w:val="00BD4D46"/>
    <w:rsid w:val="00BD53CF"/>
    <w:rsid w:val="00BF0896"/>
    <w:rsid w:val="00BF2755"/>
    <w:rsid w:val="00BF5577"/>
    <w:rsid w:val="00C07DE0"/>
    <w:rsid w:val="00C2147F"/>
    <w:rsid w:val="00C23E08"/>
    <w:rsid w:val="00C26FFB"/>
    <w:rsid w:val="00C32CFF"/>
    <w:rsid w:val="00C405BF"/>
    <w:rsid w:val="00C43EC2"/>
    <w:rsid w:val="00C50FB8"/>
    <w:rsid w:val="00C532E3"/>
    <w:rsid w:val="00C7060E"/>
    <w:rsid w:val="00C7089C"/>
    <w:rsid w:val="00C77D54"/>
    <w:rsid w:val="00C83F9B"/>
    <w:rsid w:val="00C840C8"/>
    <w:rsid w:val="00CA0152"/>
    <w:rsid w:val="00CA520E"/>
    <w:rsid w:val="00CB161C"/>
    <w:rsid w:val="00CC2329"/>
    <w:rsid w:val="00CD4523"/>
    <w:rsid w:val="00CE316F"/>
    <w:rsid w:val="00CE69C8"/>
    <w:rsid w:val="00CF29B0"/>
    <w:rsid w:val="00CF5248"/>
    <w:rsid w:val="00D065DA"/>
    <w:rsid w:val="00D07C28"/>
    <w:rsid w:val="00D14D88"/>
    <w:rsid w:val="00D15C85"/>
    <w:rsid w:val="00D15F0F"/>
    <w:rsid w:val="00D22077"/>
    <w:rsid w:val="00D24C08"/>
    <w:rsid w:val="00D25992"/>
    <w:rsid w:val="00D27E6C"/>
    <w:rsid w:val="00D311EF"/>
    <w:rsid w:val="00D379C5"/>
    <w:rsid w:val="00D55ED7"/>
    <w:rsid w:val="00D56503"/>
    <w:rsid w:val="00D66813"/>
    <w:rsid w:val="00D70EB7"/>
    <w:rsid w:val="00D74934"/>
    <w:rsid w:val="00D774F0"/>
    <w:rsid w:val="00D77512"/>
    <w:rsid w:val="00D77BA1"/>
    <w:rsid w:val="00D83426"/>
    <w:rsid w:val="00D90D9F"/>
    <w:rsid w:val="00DA1CCA"/>
    <w:rsid w:val="00DC14B3"/>
    <w:rsid w:val="00DC4E34"/>
    <w:rsid w:val="00DC57C7"/>
    <w:rsid w:val="00DD2AF6"/>
    <w:rsid w:val="00DE0C2F"/>
    <w:rsid w:val="00DF1A3F"/>
    <w:rsid w:val="00DF6253"/>
    <w:rsid w:val="00E36000"/>
    <w:rsid w:val="00E364D7"/>
    <w:rsid w:val="00E461BF"/>
    <w:rsid w:val="00E506ED"/>
    <w:rsid w:val="00E52DC5"/>
    <w:rsid w:val="00E5349F"/>
    <w:rsid w:val="00E64181"/>
    <w:rsid w:val="00E67725"/>
    <w:rsid w:val="00E72EC5"/>
    <w:rsid w:val="00E7694F"/>
    <w:rsid w:val="00E778F4"/>
    <w:rsid w:val="00E81E02"/>
    <w:rsid w:val="00E85A46"/>
    <w:rsid w:val="00E86DF3"/>
    <w:rsid w:val="00E967CB"/>
    <w:rsid w:val="00EA0827"/>
    <w:rsid w:val="00EA3286"/>
    <w:rsid w:val="00EB2EA8"/>
    <w:rsid w:val="00EB4536"/>
    <w:rsid w:val="00EB5B7E"/>
    <w:rsid w:val="00EC0270"/>
    <w:rsid w:val="00EC05BE"/>
    <w:rsid w:val="00EC2B8F"/>
    <w:rsid w:val="00EC5435"/>
    <w:rsid w:val="00EC7F42"/>
    <w:rsid w:val="00EF32ED"/>
    <w:rsid w:val="00F016FB"/>
    <w:rsid w:val="00F02FF7"/>
    <w:rsid w:val="00F06AD4"/>
    <w:rsid w:val="00F07454"/>
    <w:rsid w:val="00F15EC8"/>
    <w:rsid w:val="00F21237"/>
    <w:rsid w:val="00F232B8"/>
    <w:rsid w:val="00F32D8B"/>
    <w:rsid w:val="00F45D3A"/>
    <w:rsid w:val="00F47D7F"/>
    <w:rsid w:val="00F500B0"/>
    <w:rsid w:val="00F54D66"/>
    <w:rsid w:val="00F71C99"/>
    <w:rsid w:val="00F72B19"/>
    <w:rsid w:val="00F8072C"/>
    <w:rsid w:val="00F95C76"/>
    <w:rsid w:val="00F966B1"/>
    <w:rsid w:val="00FA6CCB"/>
    <w:rsid w:val="00FB0593"/>
    <w:rsid w:val="00FB2A55"/>
    <w:rsid w:val="00FC1C09"/>
    <w:rsid w:val="00FC44BF"/>
    <w:rsid w:val="00FE2A76"/>
    <w:rsid w:val="00FE6ED2"/>
    <w:rsid w:val="00FE7B97"/>
    <w:rsid w:val="00FF206A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940"/>
  <w15:docId w15:val="{2B1C56CB-008C-48CB-9FD7-C05603B2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0BD4"/>
    <w:pPr>
      <w:ind w:left="720"/>
      <w:contextualSpacing/>
    </w:pPr>
  </w:style>
  <w:style w:type="table" w:styleId="TableGrid">
    <w:name w:val="Table Grid"/>
    <w:basedOn w:val="TableNormal"/>
    <w:uiPriority w:val="59"/>
    <w:rsid w:val="00CE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0321234341312123E-3"/>
                  <c:y val="-1.564945612594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AC-48B3-9E97-6E0614B8D147}"/>
                </c:ext>
              </c:extLst>
            </c:dLbl>
            <c:dLbl>
              <c:idx val="1"/>
              <c:layout>
                <c:manualLayout>
                  <c:x val="1.0040154292664015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AC-48B3-9E97-6E0614B8D147}"/>
                </c:ext>
              </c:extLst>
            </c:dLbl>
            <c:dLbl>
              <c:idx val="2"/>
              <c:layout>
                <c:manualLayout>
                  <c:x val="1.4056216009729547E-2"/>
                  <c:y val="-2.1909238576328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AC-48B3-9E97-6E0614B8D147}"/>
                </c:ext>
              </c:extLst>
            </c:dLbl>
            <c:dLbl>
              <c:idx val="3"/>
              <c:layout>
                <c:manualLayout>
                  <c:x val="1.0040154292664015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AC-48B3-9E97-6E0614B8D147}"/>
                </c:ext>
              </c:extLst>
            </c:dLbl>
            <c:dLbl>
              <c:idx val="4"/>
              <c:layout>
                <c:manualLayout>
                  <c:x val="8.0321234341312123E-3"/>
                  <c:y val="-2.1909238576328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AC-48B3-9E97-6E0614B8D147}"/>
                </c:ext>
              </c:extLst>
            </c:dLbl>
            <c:dLbl>
              <c:idx val="5"/>
              <c:layout>
                <c:manualLayout>
                  <c:x val="8.0321234341312123E-3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AC-48B3-9E97-6E0614B8D147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71106945</c:v>
                </c:pt>
                <c:pt idx="1">
                  <c:v>2500000</c:v>
                </c:pt>
                <c:pt idx="2">
                  <c:v>29250445</c:v>
                </c:pt>
                <c:pt idx="3">
                  <c:v>37886500</c:v>
                </c:pt>
                <c:pt idx="4">
                  <c:v>9970000</c:v>
                </c:pt>
                <c:pt idx="5">
                  <c:v>5500000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AC-48B3-9E97-6E0614B8D14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072277726795226E-2"/>
                  <c:y val="-2.1909238576328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AC-48B3-9E97-6E0614B8D147}"/>
                </c:ext>
              </c:extLst>
            </c:dLbl>
            <c:dLbl>
              <c:idx val="1"/>
              <c:layout>
                <c:manualLayout>
                  <c:x val="8.0321234341312123E-3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2AC-48B3-9E97-6E0614B8D147}"/>
                </c:ext>
              </c:extLst>
            </c:dLbl>
            <c:dLbl>
              <c:idx val="2"/>
              <c:layout>
                <c:manualLayout>
                  <c:x val="1.8072277726795153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2AC-48B3-9E97-6E0614B8D147}"/>
                </c:ext>
              </c:extLst>
            </c:dLbl>
            <c:dLbl>
              <c:idx val="3"/>
              <c:layout>
                <c:manualLayout>
                  <c:x val="1.8072277726795302E-2"/>
                  <c:y val="-2.50391298015181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9857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A2AC-48B3-9E97-6E0614B8D147}"/>
                </c:ext>
              </c:extLst>
            </c:dLbl>
            <c:dLbl>
              <c:idx val="4"/>
              <c:layout>
                <c:manualLayout>
                  <c:x val="1.4056216009729621E-2"/>
                  <c:y val="-1.251956490075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2AC-48B3-9E97-6E0614B8D147}"/>
                </c:ext>
              </c:extLst>
            </c:dLbl>
            <c:dLbl>
              <c:idx val="5"/>
              <c:layout>
                <c:manualLayout>
                  <c:x val="1.6064246868262275E-2"/>
                  <c:y val="-1.251956490075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2AC-48B3-9E97-6E0614B8D147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19220591</c:v>
                </c:pt>
                <c:pt idx="1">
                  <c:v>20384</c:v>
                </c:pt>
                <c:pt idx="2">
                  <c:v>13017798</c:v>
                </c:pt>
                <c:pt idx="3">
                  <c:v>9855875</c:v>
                </c:pt>
                <c:pt idx="4">
                  <c:v>6215505</c:v>
                </c:pt>
                <c:pt idx="5">
                  <c:v>4486599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2AC-48B3-9E97-6E0614B8D1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"/>
        <c:gapDepth val="0"/>
        <c:shape val="box"/>
        <c:axId val="76785152"/>
        <c:axId val="76786688"/>
        <c:axId val="0"/>
      </c:bar3DChart>
      <c:catAx>
        <c:axId val="76785152"/>
        <c:scaling>
          <c:orientation val="minMax"/>
        </c:scaling>
        <c:delete val="0"/>
        <c:axPos val="b"/>
        <c:numFmt formatCode="###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76786688"/>
        <c:crossesAt val="0"/>
        <c:auto val="0"/>
        <c:lblAlgn val="ctr"/>
        <c:lblOffset val="100"/>
        <c:noMultiLvlLbl val="0"/>
      </c:catAx>
      <c:valAx>
        <c:axId val="7678668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crossAx val="76785152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  <a:p>
                  <a:pPr>
                    <a:defRPr/>
                  </a:pPr>
                  <a:endParaRPr lang="hr-HR"/>
                </a:p>
              </c:rich>
            </c:tx>
          </c:dispUnitsLbl>
        </c:dispUnits>
      </c:valAx>
    </c:plotArea>
    <c:legend>
      <c:legendPos val="t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UKUPNI PRIHODI </a:t>
            </a:r>
            <a:r>
              <a:rPr lang="hr-HR" sz="1200" i="1"/>
              <a:t>I PRIMICI </a:t>
            </a:r>
            <a:r>
              <a:rPr lang="en-US" sz="1200" i="1"/>
              <a:t>PRORAČUNA</a:t>
            </a:r>
            <a:r>
              <a:rPr lang="hr-HR" sz="1200" i="1"/>
              <a:t> PO SKUPINAMA</a:t>
            </a:r>
            <a:endParaRPr lang="en-US" sz="1200" i="1"/>
          </a:p>
        </c:rich>
      </c:tx>
      <c:overlay val="0"/>
    </c:title>
    <c:autoTitleDeleted val="0"/>
    <c:view3D>
      <c:rotX val="30"/>
      <c:rotY val="239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  <a:effectLst>
              <a:outerShdw blurRad="469900" dist="533400" dir="14400000" sx="115000" sy="115000" rotWithShape="0">
                <a:schemeClr val="tx1">
                  <a:lumMod val="95000"/>
                  <a:lumOff val="5000"/>
                  <a:alpha val="20000"/>
                </a:schemeClr>
              </a:outerShdw>
            </a:effectLst>
          </c:spPr>
          <c:explosion val="11"/>
          <c:dLbls>
            <c:dLbl>
              <c:idx val="0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bg2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0-AB03-4096-9A24-07E763491C4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b="0">
                        <a:solidFill>
                          <a:schemeClr val="accent1">
                            <a:lumMod val="50000"/>
                          </a:schemeClr>
                        </a:solidFill>
                      </a:defRPr>
                    </a:pPr>
                    <a:fld id="{F14A4054-FE39-4D4B-9C69-A10EC9655A42}" type="PERCENTAGE">
                      <a:rPr lang="en-US">
                        <a:solidFill>
                          <a:schemeClr val="bg1"/>
                        </a:solidFill>
                      </a:rPr>
                      <a:pPr>
                        <a:defRPr b="0">
                          <a:solidFill>
                            <a:schemeClr val="accent1">
                              <a:lumMod val="50000"/>
                            </a:schemeClr>
                          </a:solidFill>
                        </a:defRPr>
                      </a:pPr>
                      <a:t>[PERCENTAGE]</a:t>
                    </a:fld>
                    <a:endParaRPr lang="hr-HR"/>
                  </a:p>
                </c:rich>
              </c:tx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B03-4096-9A24-07E763491C44}"/>
                </c:ext>
              </c:extLst>
            </c:dLbl>
            <c:dLbl>
              <c:idx val="2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AB03-4096-9A24-07E763491C44}"/>
                </c:ext>
              </c:extLst>
            </c:dLbl>
            <c:dLbl>
              <c:idx val="3"/>
              <c:layout>
                <c:manualLayout>
                  <c:x val="-6.7669284702244203E-2"/>
                  <c:y val="-0.13807702076942621"/>
                </c:manualLayout>
              </c:layout>
              <c:tx>
                <c:rich>
                  <a:bodyPr/>
                  <a:lstStyle/>
                  <a:p>
                    <a:pPr>
                      <a:defRPr b="0">
                        <a:solidFill>
                          <a:schemeClr val="accent1">
                            <a:lumMod val="50000"/>
                          </a:schemeClr>
                        </a:solidFill>
                      </a:defRPr>
                    </a:pPr>
                    <a:fld id="{712D0AFC-069E-4DF7-AEC6-4FD42FA10D4D}" type="PERCENTAGE">
                      <a:rPr lang="en-US">
                        <a:solidFill>
                          <a:schemeClr val="bg1"/>
                        </a:solidFill>
                      </a:rPr>
                      <a:pPr>
                        <a:defRPr b="0">
                          <a:solidFill>
                            <a:schemeClr val="accent1">
                              <a:lumMod val="50000"/>
                            </a:schemeClr>
                          </a:solidFill>
                        </a:defRPr>
                      </a:pPr>
                      <a:t>[PERCENTAGE]</a:t>
                    </a:fld>
                    <a:endParaRPr lang="hr-HR"/>
                  </a:p>
                </c:rich>
              </c:tx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B03-4096-9A24-07E763491C44}"/>
                </c:ext>
              </c:extLst>
            </c:dLbl>
            <c:dLbl>
              <c:idx val="4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AB03-4096-9A24-07E763491C44}"/>
                </c:ext>
              </c:extLst>
            </c:dLbl>
            <c:dLbl>
              <c:idx val="5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AB03-4096-9A24-07E763491C44}"/>
                </c:ext>
              </c:extLst>
            </c:dLbl>
            <c:dLbl>
              <c:idx val="6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AB03-4096-9A24-07E763491C44}"/>
                </c:ext>
              </c:extLst>
            </c:dLbl>
            <c:dLbl>
              <c:idx val="7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tx1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AB03-4096-9A24-07E763491C44}"/>
                </c:ext>
              </c:extLst>
            </c:dLbl>
            <c:spPr>
              <a:effectLst>
                <a:innerShdw blurRad="63500" dist="50800" dir="81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B/>
              </a:sp3d>
            </c:spPr>
            <c:txPr>
              <a:bodyPr/>
              <a:lstStyle/>
              <a:p>
                <a:pPr>
                  <a:defRPr b="0">
                    <a:solidFill>
                      <a:schemeClr val="accent2">
                        <a:lumMod val="20000"/>
                        <a:lumOff val="80000"/>
                      </a:schemeClr>
                    </a:solidFill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Sheet3!$A$1:$A$8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prodaje, usluga i donacija</c:v>
                </c:pt>
                <c:pt idx="5">
                  <c:v>Kazne i ostali prihodi</c:v>
                </c:pt>
                <c:pt idx="6">
                  <c:v>Prihodi od prodaje nefin.imovine</c:v>
                </c:pt>
                <c:pt idx="7">
                  <c:v>Primici od zaduživanja</c:v>
                </c:pt>
              </c:strCache>
            </c:strRef>
          </c:cat>
          <c:val>
            <c:numRef>
              <c:f>Sheet3!$B$1:$B$8</c:f>
              <c:numCache>
                <c:formatCode>General</c:formatCode>
                <c:ptCount val="8"/>
                <c:pt idx="0">
                  <c:v>8205827</c:v>
                </c:pt>
                <c:pt idx="1">
                  <c:v>6045531</c:v>
                </c:pt>
                <c:pt idx="2">
                  <c:v>1401957</c:v>
                </c:pt>
                <c:pt idx="3">
                  <c:v>3073457</c:v>
                </c:pt>
                <c:pt idx="4">
                  <c:v>394634</c:v>
                </c:pt>
                <c:pt idx="5">
                  <c:v>99185</c:v>
                </c:pt>
                <c:pt idx="6">
                  <c:v>20384</c:v>
                </c:pt>
                <c:pt idx="7">
                  <c:v>4486599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B03-4096-9A24-07E763491C4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900" b="1" i="1"/>
          </a:pPr>
          <a:endParaRPr lang="sr-Latn-RS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 sz="1400" i="1"/>
            </a:pPr>
            <a:r>
              <a:rPr lang="en-US" sz="1200" i="1"/>
              <a:t>PLANIRANI I OSTVARENI VLASTITI PRIHODI USTANOVA</a:t>
            </a:r>
            <a:endParaRPr lang="hr-HR" sz="1200" i="1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Sheet5!$B$2:$B$6</c:f>
              <c:numCache>
                <c:formatCode>General</c:formatCode>
                <c:ptCount val="5"/>
                <c:pt idx="0">
                  <c:v>291412</c:v>
                </c:pt>
                <c:pt idx="1">
                  <c:v>495000</c:v>
                </c:pt>
                <c:pt idx="2">
                  <c:v>1106514</c:v>
                </c:pt>
                <c:pt idx="3">
                  <c:v>608400</c:v>
                </c:pt>
                <c:pt idx="4">
                  <c:v>180000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D5-4BF6-9951-E22620782BA6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cmpd="sng"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Sheet5!$C$2:$C$6</c:f>
              <c:numCache>
                <c:formatCode>General</c:formatCode>
                <c:ptCount val="5"/>
                <c:pt idx="0">
                  <c:v>118623</c:v>
                </c:pt>
                <c:pt idx="1">
                  <c:v>83474</c:v>
                </c:pt>
                <c:pt idx="2">
                  <c:v>643563</c:v>
                </c:pt>
                <c:pt idx="3">
                  <c:v>83745</c:v>
                </c:pt>
                <c:pt idx="4">
                  <c:v>212974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D5-4BF6-9951-E22620782B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8"/>
        <c:axId val="77315456"/>
        <c:axId val="77325440"/>
      </c:barChart>
      <c:catAx>
        <c:axId val="773154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/>
            </a:pPr>
            <a:endParaRPr lang="sr-Latn-RS"/>
          </a:p>
        </c:txPr>
        <c:crossAx val="77325440"/>
        <c:crosses val="autoZero"/>
        <c:auto val="1"/>
        <c:lblAlgn val="ctr"/>
        <c:lblOffset val="100"/>
        <c:noMultiLvlLbl val="0"/>
      </c:catAx>
      <c:valAx>
        <c:axId val="77325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315456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</c:rich>
            </c:tx>
          </c:dispUnitsLbl>
        </c:dispUnits>
      </c:valAx>
      <c:spPr>
        <a:noFill/>
        <a:ln>
          <a:noFill/>
        </a:ln>
      </c:spPr>
    </c:plotArea>
    <c:legend>
      <c:legendPos val="b"/>
      <c:overlay val="0"/>
      <c:txPr>
        <a:bodyPr/>
        <a:lstStyle/>
        <a:p>
          <a:pPr>
            <a:defRPr b="1" i="1"/>
          </a:pPr>
          <a:endParaRPr lang="sr-Latn-RS"/>
        </a:p>
      </c:txPr>
    </c:legend>
    <c:plotVisOnly val="1"/>
    <c:dispBlanksAs val="gap"/>
    <c:showDLblsOverMax val="0"/>
  </c:chart>
  <c:spPr>
    <a:ln w="76200"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RASHODI I IZDACI PO KORISNICIMA</a:t>
            </a:r>
            <a:r>
              <a:rPr lang="hr-HR" sz="1200" i="1"/>
              <a:t> PRORAČUNA</a:t>
            </a:r>
            <a:endParaRPr lang="en-US" sz="1200" i="1"/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152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853535353535359E-2"/>
          <c:y val="0.20202396218616531"/>
          <c:w val="0.81944444444444453"/>
          <c:h val="0.6954263462170267"/>
        </c:manualLayout>
      </c:layout>
      <c:pie3D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31D-4F60-AA13-401EA263703B}"/>
              </c:ext>
            </c:extLst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1">
                      <a:solidFill>
                        <a:schemeClr val="tx2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D31D-4F60-AA13-401EA263703B}"/>
                </c:ext>
              </c:extLst>
            </c:dLbl>
            <c:dLbl>
              <c:idx val="1"/>
              <c:layout>
                <c:manualLayout>
                  <c:x val="-3.9601328243060528E-2"/>
                  <c:y val="-0.1691117246203249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1D-4F60-AA13-401EA263703B}"/>
                </c:ext>
              </c:extLst>
            </c:dLbl>
            <c:dLbl>
              <c:idx val="2"/>
              <c:layout>
                <c:manualLayout>
                  <c:x val="7.2695458522230175E-4"/>
                  <c:y val="-8.985818821448328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1D-4F60-AA13-401EA263703B}"/>
                </c:ext>
              </c:extLst>
            </c:dLbl>
            <c:dLbl>
              <c:idx val="3"/>
              <c:layout>
                <c:manualLayout>
                  <c:x val="-7.3441700469259519E-2"/>
                  <c:y val="-0.13139492830420638"/>
                </c:manualLayout>
              </c:layout>
              <c:tx>
                <c:rich>
                  <a:bodyPr/>
                  <a:lstStyle/>
                  <a:p>
                    <a:r>
                      <a:rPr lang="en-US" b="1" i="1">
                        <a:solidFill>
                          <a:sysClr val="windowText" lastClr="000000"/>
                        </a:solidFill>
                      </a:rPr>
                      <a:t>Vrtić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31D-4F60-AA13-401EA263703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CZK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31D-4F60-AA13-401EA263703B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>
                    <a:solidFill>
                      <a:schemeClr val="tx2"/>
                    </a:solidFill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Sheet4!$A$2:$A$7</c:f>
              <c:strCache>
                <c:ptCount val="6"/>
                <c:pt idx="0">
                  <c:v>Grad</c:v>
                </c:pt>
                <c:pt idx="1">
                  <c:v>Muzej</c:v>
                </c:pt>
                <c:pt idx="2">
                  <c:v>Knjižnica</c:v>
                </c:pt>
                <c:pt idx="3">
                  <c:v>Vrtić</c:v>
                </c:pt>
                <c:pt idx="4">
                  <c:v>CZKK</c:v>
                </c:pt>
                <c:pt idx="5">
                  <c:v>ŠOK</c:v>
                </c:pt>
              </c:strCache>
            </c:strRef>
          </c:cat>
          <c:val>
            <c:numRef>
              <c:f>Sheet4!$B$2:$B$7</c:f>
              <c:numCache>
                <c:formatCode>General</c:formatCode>
                <c:ptCount val="6"/>
                <c:pt idx="0">
                  <c:v>23862874</c:v>
                </c:pt>
                <c:pt idx="1">
                  <c:v>567696</c:v>
                </c:pt>
                <c:pt idx="2">
                  <c:v>384506</c:v>
                </c:pt>
                <c:pt idx="3">
                  <c:v>2158067</c:v>
                </c:pt>
                <c:pt idx="4">
                  <c:v>387148</c:v>
                </c:pt>
                <c:pt idx="5">
                  <c:v>1730491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1D-4F60-AA13-401EA263703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r-HR" sz="1100"/>
              <a:t>PLANIRANI I IZVRŠENI RASHODI USTANOVA</a:t>
            </a:r>
          </a:p>
        </c:rich>
      </c:tx>
      <c:layout>
        <c:manualLayout>
          <c:xMode val="edge"/>
          <c:yMode val="edge"/>
          <c:x val="0.25889967637540451"/>
          <c:y val="3.274559193954659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79611650485452"/>
          <c:y val="0.19395465994962216"/>
          <c:w val="0.74433656957928807"/>
          <c:h val="0.647355163727958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0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C0-4A61-9F94-FA2CA1B44939}"/>
                </c:ext>
              </c:extLst>
            </c:dLbl>
            <c:dLbl>
              <c:idx val="1"/>
              <c:layout>
                <c:manualLayout>
                  <c:x val="4.3149946062567383E-3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C0-4A61-9F94-FA2CA1B44939}"/>
                </c:ext>
              </c:extLst>
            </c:dLbl>
            <c:dLbl>
              <c:idx val="2"/>
              <c:layout>
                <c:manualLayout>
                  <c:x val="4.3149946062567383E-3"/>
                  <c:y val="-1.0075566750629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C0-4A61-9F94-FA2CA1B44939}"/>
                </c:ext>
              </c:extLst>
            </c:dLbl>
            <c:dLbl>
              <c:idx val="3"/>
              <c:layout>
                <c:manualLayout>
                  <c:x val="4.3149946062567383E-3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C0-4A61-9F94-FA2CA1B44939}"/>
                </c:ext>
              </c:extLst>
            </c:dLbl>
            <c:dLbl>
              <c:idx val="4"/>
              <c:layout>
                <c:manualLayout>
                  <c:x val="4.3149946062568199E-3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C0-4A61-9F94-FA2CA1B44939}"/>
                </c:ext>
              </c:extLst>
            </c:dLbl>
            <c:numFmt formatCode="0" sourceLinked="0"/>
            <c:spPr>
              <a:noFill/>
              <a:ln w="25400">
                <a:noFill/>
              </a:ln>
              <a:effectLst>
                <a:outerShdw dir="8400000" sx="1000" sy="1000" algn="ctr" rotWithShape="0">
                  <a:srgbClr val="000000">
                    <a:alpha val="18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1122212</c:v>
                </c:pt>
                <c:pt idx="1">
                  <c:v>1229800</c:v>
                </c:pt>
                <c:pt idx="2">
                  <c:v>4405233</c:v>
                </c:pt>
                <c:pt idx="3">
                  <c:v>1452800</c:v>
                </c:pt>
                <c:pt idx="4">
                  <c:v>2190000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C0-4A61-9F94-FA2CA1B4493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2944983818770227E-2"/>
                  <c:y val="-1.0075566750629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C0-4A61-9F94-FA2CA1B44939}"/>
                </c:ext>
              </c:extLst>
            </c:dLbl>
            <c:dLbl>
              <c:idx val="1"/>
              <c:layout>
                <c:manualLayout>
                  <c:x val="1.0787486515641894E-2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C0-4A61-9F94-FA2CA1B44939}"/>
                </c:ext>
              </c:extLst>
            </c:dLbl>
            <c:dLbl>
              <c:idx val="2"/>
              <c:layout>
                <c:manualLayout>
                  <c:x val="1.7259978425026964E-2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C0-4A61-9F94-FA2CA1B44939}"/>
                </c:ext>
              </c:extLst>
            </c:dLbl>
            <c:dLbl>
              <c:idx val="3"/>
              <c:layout>
                <c:manualLayout>
                  <c:x val="1.2944983818770227E-2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C0-4A61-9F94-FA2CA1B44939}"/>
                </c:ext>
              </c:extLst>
            </c:dLbl>
            <c:dLbl>
              <c:idx val="4"/>
              <c:layout>
                <c:manualLayout>
                  <c:x val="1.51024811218986E-2"/>
                  <c:y val="-6.7173089509907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C0-4A61-9F94-FA2CA1B44939}"/>
                </c:ext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>
                    <a:solidFill>
                      <a:sysClr val="windowText" lastClr="000000"/>
                    </a:solidFill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567696</c:v>
                </c:pt>
                <c:pt idx="1">
                  <c:v>384506</c:v>
                </c:pt>
                <c:pt idx="2">
                  <c:v>2158067</c:v>
                </c:pt>
                <c:pt idx="3">
                  <c:v>387148</c:v>
                </c:pt>
                <c:pt idx="4">
                  <c:v>1730491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3C0-4A61-9F94-FA2CA1B449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6"/>
        <c:gapDepth val="62"/>
        <c:shape val="cylinder"/>
        <c:axId val="77042816"/>
        <c:axId val="77044352"/>
        <c:axId val="0"/>
      </c:bar3DChart>
      <c:catAx>
        <c:axId val="7704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77044352"/>
        <c:crosses val="autoZero"/>
        <c:auto val="1"/>
        <c:lblAlgn val="ctr"/>
        <c:lblOffset val="100"/>
        <c:noMultiLvlLbl val="0"/>
      </c:catAx>
      <c:valAx>
        <c:axId val="7704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7042816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en-US"/>
                    <a:t>Tisuće</a:t>
                  </a:r>
                </a:p>
              </c:rich>
            </c:tx>
            <c:spPr>
              <a:noFill/>
              <a:ln w="25400">
                <a:noFill/>
              </a:ln>
            </c:spPr>
          </c:dispUnitsLbl>
        </c:dispUnits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89320388349514"/>
          <c:y val="0.48614609571788492"/>
          <c:w val="0.12730202414018635"/>
          <c:h val="0.1214637339098356"/>
        </c:manualLayout>
      </c:layout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btomic</dc:creator>
  <cp:lastModifiedBy>Ivana Stanišić</cp:lastModifiedBy>
  <cp:revision>2</cp:revision>
  <cp:lastPrinted>2022-10-05T12:39:00Z</cp:lastPrinted>
  <dcterms:created xsi:type="dcterms:W3CDTF">2022-12-29T07:46:00Z</dcterms:created>
  <dcterms:modified xsi:type="dcterms:W3CDTF">2022-12-29T07:46:00Z</dcterms:modified>
</cp:coreProperties>
</file>